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60a EnWG 2005 — Aufgaben des Länderausschusses</w:t>
      </w:r>
    </w:p>
    <w:p>
      <w:r>
        <w:rPr>
          <w:color w:val="555555"/>
          <w:sz w:val="18"/>
        </w:rPr>
        <w:t xml:space="preserve">Energiewirtschaftsgesetz</w:t>
      </w:r>
    </w:p>
    <w:p>
      <w:r>
        <w:rPr>
          <w:color w:val="555555"/>
          <w:sz w:val="18"/>
        </w:rPr>
        <w:t xml:space="preserve">Stand: 05.01.2024 (konsolidierte Textfassung, kein amtliches Inkrafttretensdatum)</w:t>
      </w:r>
    </w:p>
    <w:p>
      <w:r>
        <w:t xml:space="preserve">(1) Der Länderausschuss nach § 8 des Gesetzes über die Bundesnetzagentur für Elektrizität, Gas, Telekommunikation, Post und Eisenbahnen (Länderausschuss) dient der Abstimmung zwischen der Bundesnetzagentur und den Landesregulierungsbehörden mit dem Ziel der Sicherstellung eines bundeseinheitlichen Vollzugs.</w:t>
      </w:r>
    </w:p>
    <w:p>
      <w:r>
        <w:t xml:space="preserve">(2) Vor dem Erlass von Allgemeinverfügungen, insbesondere von Festlegungen nach § 29 Abs. 1, und Verwaltungsvorschriften, Leitfäden und vergleichbaren informellen Regelungen durch die Bundesnetzagentur nach den Teilen 2 und 3 ist dem Länderausschuss Gelegenheit zur Stellungnahme zu geben. Die dem Länderausschuss für die Abgabe einer Stellungnahme gewährte Frist muss angemessen sein, mindestens aber zwei Wochen ab Übersendung des Festlegungsentwurfs betragen. Weicht die Bundesnetzagentur von der Stellungnahme des Länderausschusses ab, so hat sie dies schriftlich zu begründen. Die Begründung ist dem Länderausschuss zur Verfügung zu stellen. In dringlichen Fällen kann bei Allgemeinverfügungen die Frist für eine Stellungnahme des Länderausschusses in Abweichung von Satz 2 eine Woche betragen, dabei sind die Sätze 3 und 4 entsprechend anzuwenden.</w:t>
      </w:r>
    </w:p>
    <w:p>
      <w:r>
        <w:t xml:space="preserve">(3) Der Länderausschuss ist berechtigt, im Zusammenhang mit dem Erlass von Allgemeinverfügungen im Sinne des Absatzes 2 Auskünfte und Stellungnahmen von der Bundesnetzagentur einzuholen. Die Bundesnetzagentur ist insoweit auskunftspflichtig.</w:t>
      </w:r>
    </w:p>
    <w:p>
      <w:r>
        <w:t xml:space="preserve">(4) Der Bericht der Bundesnetzagentur nach § 112a Abs. 1 zur Einführung einer Anreizregulierung ist im Benehmen mit dem Länderausschuss zu erstellen. Der Länderausschuss ist zu diesem Zwecke durch die Bundesnetzagentur regelmäßig über Stand und Fortgang der Arbeiten zu unterrichten. Absatz 3 gilt entsprechend.</w:t>
      </w:r>
    </w:p>
    <w:p>
      <w:r>
        <w:rPr>
          <w:color w:val="555555"/>
          <w:sz w:val="17"/>
        </w:rPr>
        <w:t xml:space="preserve">Zitiervorschlag: § 60a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https://recht.nulegal.eu/gesetze/EnWG%202005/60a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