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5b EnWG 2005 — Anzeige von Verdachtsfällen, Verschwiegenheitspflichten</w:t>
      </w:r>
    </w:p>
    <w:p>
      <w:r>
        <w:rPr>
          <w:color w:val="555555"/>
          <w:sz w:val="18"/>
        </w:rPr>
        <w:t xml:space="preserve">Energiewirtschaftsgesetz</w:t>
      </w:r>
    </w:p>
    <w:p>
      <w:r>
        <w:rPr>
          <w:color w:val="555555"/>
          <w:sz w:val="18"/>
        </w:rPr>
        <w:t xml:space="preserve">Stand: 24.12.2025 (konsolidierte Textfassung, kein amtliches Inkrafttretensdatum)</w:t>
      </w:r>
    </w:p>
    <w:p>
      <w:r>
        <w:t xml:space="preserve">(1) Personen, die beruflich Transaktionen mit Energiegroßhandelsprodukten arrangieren oder beruflich Transaktionen nach Artikel 16 der Verordnung (EU) Nr. 596/2014 sowie auch Transaktionen mit Energiegroßhandelsprodukten ausführen, dürfen ausschließlich Personen, die auf Grund ihres Berufs einer gesetzlichen Verschwiegenheitspflicht unterliegen, und staatliche Stellen von einer Anzeige nach Artikel 15 Absatz 1 oder Absatz 2 der Verordnung (EU) Nr. 1227/2011 in der Fassung vom 13. Juni 2024 oder einer daraufhin eingeleiteten Untersuchung oder einem daraufhin eingeleiteten Ermittlungsverfahren in Kenntnis setzen. Die Bundesnetzagentur kann Inhalt und Ausgestaltung der Vorkehrungsmaßnahmen und Verfahren nach Artikel 15 Absatz 3 der Verordnung (EU) Nr. 1227/2011 in der Fassung vom 13. Juni 2024 durch Festlegung nach § 29 Absatz 1 näher bestimmen. Für die zur Auskunft nach Artikel 15 Absatz 1 und 2 der Verordnung (EU) Nr. 1227/2011 in der Fassung vom 13. Juni 2024 verpflichteten Personen ist § 55 der Strafprozessordnung entsprechend anzuwenden.</w:t>
      </w:r>
    </w:p>
    <w:p>
      <w:r>
        <w:t xml:space="preserve">(2) Ergreift die Bundesnetzagentur Maßnahmen wegen eines möglichen Verstoßes gegen ein Verbot nach Artikel 3 oder Artikel 5 der Verordnung (EU) Nr. 1227/2011, so dürfen die Adressaten dieser Maßnahmen ausschließlich Personen, die auf Grund ihres Berufs einer gesetzlichen Verschwiegenheitspflicht unterliegen, und staatliche Stellen von diesen Maßnahmen oder von einem daraufhin eingeleiteten Ermittlungsverfahren in Kenntnis setzen.</w:t>
      </w:r>
    </w:p>
    <w:p>
      <w:r>
        <w:rPr>
          <w:color w:val="555555"/>
          <w:sz w:val="17"/>
        </w:rPr>
        <w:t xml:space="preserve">Zitiervorschlag: § 5b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https://recht.nulegal.eu/gesetze/EnWG%202005/5b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