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EnWG 2005 — Organisation</w:t>
      </w:r>
    </w:p>
    <w:p>
      <w:r>
        <w:rPr>
          <w:color w:val="555555"/>
          <w:sz w:val="18"/>
        </w:rPr>
        <w:t xml:space="preserve">Energiewirtschaftsgesetz</w:t>
      </w:r>
    </w:p>
    <w:p>
      <w:r>
        <w:rPr>
          <w:color w:val="555555"/>
          <w:sz w:val="18"/>
        </w:rPr>
        <w:t xml:space="preserve">Stand: 17.03.2026 (konsolidierte Textfassung, kein amtliches Inkrafttretensdatum)</w:t>
      </w:r>
    </w:p>
    <w:p>
      <w:r>
        <w:t xml:space="preserve">(1) Die Entscheidungen der Bundesnetzagentur nach diesem Gesetz werden von den Beschlusskammern getroffen. Satz 1 gilt nicht für</w:t>
      </w:r>
    </w:p>
    <w:p>
      <w:pPr>
        <w:ind w:left="420"/>
      </w:pPr>
      <w:r>
        <w:t xml:space="preserve">1. die Überprüfung der Einhaltung der Vorgaben des § 5 sowie für alle auf dessen Grundlage gegenüber einem Energielieferanten zu treffenden Entscheidungen,</w:t>
      </w:r>
    </w:p>
    <w:p>
      <w:pPr>
        <w:ind w:left="420"/>
      </w:pPr>
      <w:r>
        <w:t xml:space="preserve">1a. die Festlegungen nach § 5c Absatz 2 und 6,</w:t>
      </w:r>
    </w:p>
    <w:p>
      <w:pPr>
        <w:ind w:left="420"/>
      </w:pPr>
      <w:r>
        <w:t xml:space="preserve">1b. die Erstellung und Überprüfung des Sicherheitskatalogs für die physische Resilienz nach § 5f Absatz 2,</w:t>
      </w:r>
    </w:p>
    <w:p>
      <w:pPr>
        <w:ind w:left="420"/>
      </w:pPr>
      <w:r>
        <w:t xml:space="preserve">2. die Aufgaben nach § 11 Absatz 2,</w:t>
      </w:r>
    </w:p>
    <w:p>
      <w:pPr>
        <w:ind w:left="420"/>
      </w:pPr>
      <w:r>
        <w:t xml:space="preserve">2a. die Anforderungen des Berichts und die Überwachung der Berichtspflichten nach § 12 Absatz 3b,</w:t>
      </w:r>
    </w:p>
    <w:p>
      <w:pPr>
        <w:ind w:left="420"/>
      </w:pPr>
      <w:r>
        <w:t xml:space="preserve">3. die Datenerhebung zur Erfüllung von Berichtspflichten einschließlich der Anforderung von Angaben nach § 12 Absatz 5 Satz 1 Nummer 4,</w:t>
      </w:r>
    </w:p>
    <w:p>
      <w:pPr>
        <w:ind w:left="420"/>
      </w:pPr>
      <w:r>
        <w:t xml:space="preserve">4. die Aufgaben nach den §§ 12a bis 12f und 12i,</w:t>
      </w:r>
    </w:p>
    <w:p>
      <w:pPr>
        <w:ind w:left="420"/>
      </w:pPr>
      <w:r>
        <w:t xml:space="preserve">4a. die Überwachung der Vorgaben nach § 13 Absatz 3 Satz 4 und 5,</w:t>
      </w:r>
    </w:p>
    <w:p>
      <w:pPr>
        <w:ind w:left="420"/>
      </w:pPr>
      <w:r>
        <w:t xml:space="preserve">5. Entscheidungen nach § 13b Absatz 5, § 13e Absatz 5, § 13f Absatz 1, § 13g Absatz 6, auf Grund einer Verordnung nach § 13h Absatz 1 Nummer 1 bis 8, 10 und 11 sowie 12 bis 23, Festlegungen auf Grund § 13h Absatz 2 zur näheren Bestimmung der Regelungen nach § 13h Absatz 1 Nummer 1 bis 8, 10 und 11 sowie 12 bis 20,</w:t>
      </w:r>
    </w:p>
    <w:p>
      <w:pPr>
        <w:ind w:left="420"/>
      </w:pPr>
      <w:r>
        <w:t xml:space="preserve">6. Entscheidungen, die auf Grund von Verordnungen nach § 13i Absatz 3 Nummer 1 Buchstabe a, b, c, f sowie Nummer 2 und Absatz 4 getroffen werden, mit Ausnahme der Kriterien einer angemessenen Vergütung,</w:t>
      </w:r>
    </w:p>
    <w:p>
      <w:pPr>
        <w:ind w:left="420"/>
      </w:pPr>
      <w:r>
        <w:t xml:space="preserve">7. Festlegungen nach § 13j Absatz 2 Nummer 3, 5 bis 7 und 9, Absatz 3 Satz 1 in Verbindung mit § 13i Absatz 3 Nummer 1 Buchstabe a, b, c und f, § 13j Absatz 3 Satz 2 hinsichtlich des § 13b sowie nach § 13j Absatz 4, 5, 7 Nummer 1 und 2 und Absatz 6,</w:t>
      </w:r>
    </w:p>
    <w:p>
      <w:pPr>
        <w:ind w:left="420"/>
      </w:pPr>
      <w:r>
        <w:t xml:space="preserve">7a. Entscheidungen und Aufgaben nach den §§ 13k und 13l Absatz 3,</w:t>
      </w:r>
    </w:p>
    <w:p>
      <w:pPr>
        <w:ind w:left="420"/>
      </w:pPr>
      <w:r>
        <w:t xml:space="preserve">8. Aufgaben nach § 14 Absatz 2 und den §§ 14c bis 14e,</w:t>
      </w:r>
    </w:p>
    <w:p>
      <w:pPr>
        <w:ind w:left="420"/>
      </w:pPr>
      <w:r>
        <w:t xml:space="preserve">9. die Aufgaben nach den §§ 15a bis 15e,</w:t>
      </w:r>
    </w:p>
    <w:p>
      <w:pPr>
        <w:ind w:left="420"/>
      </w:pPr>
      <w:r>
        <w:t xml:space="preserve">9a. Festlegungen nach § 17 Absatz 4 über die technischen Bedingungen für einen Netzanschluss an ein Elektrizitätsversorgungsnetz oder Methoden für die Bestimmung dieser Bedingungen,</w:t>
      </w:r>
    </w:p>
    <w:p>
      <w:pPr>
        <w:ind w:left="420"/>
      </w:pPr>
      <w:r>
        <w:t xml:space="preserve">10. die Aufgaben nach den §§ 17a bis 17c,</w:t>
      </w:r>
    </w:p>
    <w:p>
      <w:pPr>
        <w:ind w:left="420"/>
      </w:pPr>
      <w:r>
        <w:t xml:space="preserve">11. Aufgaben nach den §§ 28p und 28q,</w:t>
      </w:r>
    </w:p>
    <w:p>
      <w:pPr>
        <w:ind w:left="420"/>
      </w:pPr>
      <w:r>
        <w:t xml:space="preserve">11a. die Überprüfung der Einhaltung der Vorgaben aus den Bestimmungen der §§ 20a, 36 bis 41c, 42, 42a, 111a und 111b und aus den auf dieser Grundlage erlassenen Rechtsverordnungen sowie alle zur Durchsetzung dieser Vorgaben zu treffenden Entscheidungen,</w:t>
      </w:r>
    </w:p>
    <w:p>
      <w:pPr>
        <w:ind w:left="420"/>
      </w:pPr>
      <w:r>
        <w:t xml:space="preserve">12. Datenerhebungen zur Wahrnehmung der Aufgaben nach § 54a Absatz 2, Entscheidungen im Zusammenhang mit dem Ausbau bidirektionaler Gasflüsse nach § 54a Absatz 2 in Verbindung mit Artikel 5 Absatz 4 und 8 Unterabsatz 1 sowie Anhang III zu der Verordnung (EU) 2017/1938 in der Fassung vom 13. Juni 2024 sowie Festlegungen nach § 54a Absatz 3 Satz 2 mit Ausnahme von Festlegungen zur Kostenaufteilung,</w:t>
      </w:r>
    </w:p>
    <w:p>
      <w:pPr>
        <w:ind w:left="420"/>
      </w:pPr>
      <w:r>
        <w:t xml:space="preserve">13. Entscheidungen im Zusammenhang mit der Überwachung der Energiegroßhandelsmärkte nach § 56 Absatz 1 Satz 1 Nummer 4 in Verbindung mit der Verordnung (EU) Nr. 1227/2011 in der Fassung vom 13. Juni 2024 sowie Festlegungen nach § 5b Absatz 1 Satz 2 und § 58a Absatz 4,</w:t>
      </w:r>
    </w:p>
    <w:p>
      <w:pPr>
        <w:ind w:left="420"/>
      </w:pPr>
      <w:r>
        <w:t xml:space="preserve">14. Entscheidungen auf der Grundlage der Artikel 9, 65 und 68 der Verordnung (EU) 2015/1222 in der Fassung vom 22. Februar 2021,</w:t>
      </w:r>
    </w:p>
    <w:p>
      <w:pPr>
        <w:ind w:left="420"/>
      </w:pPr>
      <w:r>
        <w:t xml:space="preserve">15. Entscheidungen zur Durchsetzung der Verpflichtungen für Datenlieferanten nach Artikel 4 Absatz 6 der Verordnung (EU) Nr. 543/2013,</w:t>
      </w:r>
    </w:p>
    <w:p>
      <w:pPr>
        <w:ind w:left="420"/>
      </w:pPr>
      <w:r>
        <w:t xml:space="preserve">16. die Erhebung von Gebühren nach § 91,</w:t>
      </w:r>
    </w:p>
    <w:p>
      <w:pPr>
        <w:ind w:left="420"/>
      </w:pPr>
      <w:r>
        <w:t xml:space="preserve">17. Vollstreckungsmaßnahmen nach § 94,</w:t>
      </w:r>
    </w:p>
    <w:p>
      <w:pPr>
        <w:ind w:left="420"/>
      </w:pPr>
      <w:r>
        <w:t xml:space="preserve">18. die Aufgaben und Festlegungen im Zusammenhang mit der nationalen Informationsplattform nach § 111d,</w:t>
      </w:r>
    </w:p>
    <w:p>
      <w:pPr>
        <w:ind w:left="420"/>
      </w:pPr>
      <w:r>
        <w:t xml:space="preserve">19. die Aufgaben im Zusammenhang mit dem Marktstammdatenregister nach den §§ 111e und 111f,</w:t>
      </w:r>
    </w:p>
    <w:p>
      <w:pPr>
        <w:ind w:left="420"/>
      </w:pPr>
      <w:r>
        <w:t xml:space="preserve">19a. die Aufgaben und Festlegungen im Zusammenhang mit der Datenerhebung und Datenveröffentlichung und der nationalen Transparenzplattform nach § 111g,</w:t>
      </w:r>
    </w:p>
    <w:p>
      <w:pPr>
        <w:ind w:left="420"/>
      </w:pPr>
      <w:r>
        <w:t xml:space="preserve">20. Entscheidungen auf der Grundlage der Artikel 4, 30 und 36 der Verordnung (EU) 2016/1719 in der Fassung vom 22. Februar 2021,</w:t>
      </w:r>
    </w:p>
    <w:p>
      <w:pPr>
        <w:ind w:left="420"/>
      </w:pPr>
      <w:r>
        <w:t xml:space="preserve">21. Entscheidungen auf der Grundlage der Artikel 6 und 7 der Verordnung (EU) 2017/2196 in der Fassung vom 24. November 2017, mit Ausnahme der Durchführung von Streitbeilegungsverfahren nach Artikel 6 Absatz 10 der Verordnung (EU) 2017/1485 in der Fassung vom 22. Februar 2021,</w:t>
      </w:r>
    </w:p>
    <w:p>
      <w:pPr>
        <w:ind w:left="420"/>
      </w:pPr>
      <w:r>
        <w:t xml:space="preserve">22. Entscheidungen auf der Grundlage des Artikels 4 der Verordnung (EU) 2017/2196 in der Fassung vom 24. November 2017, mit Ausnahme der Durchführung von Streitbeilegungsverfahren nach Artikel 4 Absatz 8 der Verordnung (EU) 2017/2196 in der Fassung vom 24. November 2017,</w:t>
      </w:r>
    </w:p>
    <w:p>
      <w:pPr>
        <w:ind w:left="420"/>
      </w:pPr>
      <w:r>
        <w:t xml:space="preserve">23. Entscheidungen auf der Grundlage der Artikel 11, 13, 15, 16, 17 und 35 der Verordnung (EU) 2019/943 in der Fassung vom 13. Juni 2024,</w:t>
      </w:r>
    </w:p>
    <w:p>
      <w:pPr>
        <w:ind w:left="420"/>
      </w:pPr>
      <w:r>
        <w:t xml:space="preserve">24. die Überprüfung der Einhaltung der Vorgaben, die sich aus einer Verordnung aufgrund von § 49 Absatz 4 hinsichtlich der technischen Sicherheit und Interoperabilität von Ladepunkten ergeben,</w:t>
      </w:r>
    </w:p>
    <w:p>
      <w:pPr>
        <w:ind w:left="420"/>
      </w:pPr>
      <w:r>
        <w:t xml:space="preserve">25. Entscheidungen nach den §§ 11a und 11b,</w:t>
      </w:r>
    </w:p>
    <w:p>
      <w:pPr>
        <w:ind w:left="420"/>
      </w:pPr>
      <w:r>
        <w:t xml:space="preserve">26. Entscheidungen nach § 50b Absatz 3 Satz 3,</w:t>
      </w:r>
    </w:p>
    <w:p>
      <w:pPr>
        <w:ind w:left="420"/>
      </w:pPr>
      <w:r>
        <w:t xml:space="preserve">27. Festlegungen nach § 50e Absatz 2 und</w:t>
      </w:r>
    </w:p>
    <w:p>
      <w:pPr>
        <w:ind w:left="420"/>
      </w:pPr>
      <w:r>
        <w:t xml:space="preserve">28. Entscheidungen auf der Grundlage des Artikels 4 Absatz 6 der Verordnung (EU) 2017/2195 in der Fassung vom 25. Mai 2022.</w:t>
      </w:r>
    </w:p>
    <w:p>
      <w:r>
        <w:t xml:space="preserve">Die Beschlusskammern werden nach Bestimmung des Bundesministeriums für Wirtschaft und Energie gebildet. Entscheidungen der Bundesnetzagentur nach Satz 2 können auch von den Beschlusskammern getroffen werden.</w:t>
      </w:r>
    </w:p>
    <w:p>
      <w:r>
        <w:t xml:space="preserve">(2) Die Beschlusskammern entscheiden in der Besetzung mit einem oder einer Vorsitzenden und mindestens zwei Beisitzenden. Vorsitzende und Beisitzende müssen Beamte sein und die Befähigung zum Richteramt oder für eine Laufbahn des höheren Dienstes haben.</w:t>
      </w:r>
    </w:p>
    <w:p>
      <w:r>
        <w:t xml:space="preserve">(3) Bei der Bundesnetzagentur wird eine Große Beschlusskammer eingerichtet. Sie besteht aus dem Präsidium der Bundesnetzagentur sowie den sachlich zuständigen Beschlusskammervorsitzenden und Abteilungsleitungen der Bundesnetzagentur. Die Große Beschlusskammer trifft bundesweit einheitliche Festlegungen zu den Bedingungen und Methoden für den Netzzugang und zu den Bedingungen und Methoden zur Ermittlung der dafür erhobenen Entgelte nach den §§ 20 bis 23a, 24 bis 24b sowie 28o Absatz 3. Die Große Beschlusskammer kann die Festlegung einer zuständigen Beschlusskammer nach Absatz 1 übertragen. Die Große Beschlusskammer entscheidet jeweils in der Besetzung mit dem Präsidenten oder seiner Vertretung als Vorsitzenden und fünf Beisitzenden. Ihre Entscheidungen werden mit der Mehrheit der zur jeweiligen Entscheidung stimmberechtigten Mitglieder getroffen. Bei Stimmengleichheit entscheidet die Stimme des Vorsitzenden.</w:t>
      </w:r>
    </w:p>
    <w:p>
      <w:r>
        <w:t xml:space="preserve">(4) Die Mitglieder der Beschlusskammern dürfen weder ein Unternehmen der Energiewirtschaft innehaben oder leiten noch dürfen sie Mitglied des Vorstandes oder Aufsichtsrates eines Unternehmens der Energiewirtschaft sein oder einer Regierung oder einer gesetzgebenden Körperschaft des Bundes oder eines Landes angehören.</w:t>
      </w:r>
    </w:p>
    <w:p>
      <w:r>
        <w:rPr>
          <w:color w:val="555555"/>
          <w:sz w:val="17"/>
        </w:rPr>
        <w:t xml:space="preserve">Zitiervorschlag: § 59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