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EnWG 2005 — Allgemeine Zuständigkeit</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Aufgaben der Regulierungsbehörde nehmen die Bundesnetzagentur für Elektrizität, Gas, Telekommunikation, Post und Eisenbahnen (Bundesnetzagentur) und nach Maßgabe des Absatzes 2 die Landesregulierungsbehörden wahr.</w:t>
      </w:r>
    </w:p>
    <w:p>
      <w:r>
        <w:t xml:space="preserve">(2) Soweit Energieversorgungsunternehmen betroffen sind, an deren Elektrizitäts- oder Gasverteilernetz jeweils weniger als 100 000 Kunden unmittelbar oder mittelbar angeschlossen sind, obliegt den Landesregulierungsbehörden</w:t>
      </w:r>
    </w:p>
    <w:p>
      <w:pPr>
        <w:ind w:left="420"/>
      </w:pPr>
      <w:r>
        <w:t xml:space="preserve">1. die Genehmigung der Entgelte für den Netzzugang nach § 23a,</w:t>
      </w:r>
    </w:p>
    <w:p>
      <w:pPr>
        <w:ind w:left="420"/>
      </w:pPr>
      <w:r>
        <w:t xml:space="preserve">2. die Genehmigung oder Festlegung im Rahmen der Bestimmung der Entgelte für den Netzzugang im Wege einer Anreizregulierung nach § 21a,</w:t>
      </w:r>
    </w:p>
    <w:p>
      <w:pPr>
        <w:ind w:left="420"/>
      </w:pPr>
      <w:r>
        <w:t xml:space="preserve">3. die Genehmigung oder Untersagung individueller Entgelte für den Netzzugang, soweit diese in einer nach § 24 Satz 1 Nummer 3 erlassenen Rechtsverordnung in der bis zum Ablauf des 28. Dezember 2023 geltenden Fassung oder durch eine Festlegung der Bundesnetzagentur nach § 21 Absatz 2 Satz 4 Nummer 2 Buchstabe c oder Nummer 3 Buchstabe e oder f vorgesehen sind,</w:t>
      </w:r>
    </w:p>
    <w:p>
      <w:pPr>
        <w:ind w:left="420"/>
      </w:pPr>
      <w:r>
        <w:t xml:space="preserve">4. die Überwachung der Vorschriften zur Entflechtung nach § 6 Absatz 1 in Verbindung mit den §§ 6a bis 7a,</w:t>
      </w:r>
    </w:p>
    <w:p>
      <w:pPr>
        <w:ind w:left="420"/>
      </w:pPr>
      <w:r>
        <w:t xml:space="preserve">5. die Überwachung der Vorschriften zur Systemverantwortung der Betreiber von Energieversorgungsnetzen nach den §§ 14a, 14b und 15 bis 16a,</w:t>
      </w:r>
    </w:p>
    <w:p>
      <w:pPr>
        <w:ind w:left="420"/>
      </w:pPr>
      <w:r>
        <w:t xml:space="preserve">6. die Überwachung der Vorschriften zum Netzanschluss nach den §§ 17 und 18 mit Ausnahme der Vorschriften zur Festlegung oder Genehmigung der technischen und wirtschaftlichen Bedingungen für einen Netzanschluss oder die Methoden für die Bestimmung dieser Bedingungen durch die Regulierungsbehörde, soweit derartige Vorschriften in einer nach § 17 Absatz 3 Satz 1 Nummer 2 in der bis zum Ablauf des 28. Dezember 2023 geltenden Fassung erlassenen Rechtsverordnung oder durch eine Festlegung der Bundesnetzagentur nach § 17 Absatz 4 vorgesehen sind,</w:t>
      </w:r>
    </w:p>
    <w:p>
      <w:pPr>
        <w:ind w:left="420"/>
      </w:pPr>
      <w:r>
        <w:t xml:space="preserve">7. die Überwachung der technischen Vorschriften nach § 19,</w:t>
      </w:r>
    </w:p>
    <w:p>
      <w:pPr>
        <w:ind w:left="420"/>
      </w:pPr>
      <w:r>
        <w:t xml:space="preserve">8. die Missbrauchsaufsicht nach den §§ 30 und 31 sowie die Vorteilsabschöpfung nach § 33,</w:t>
      </w:r>
    </w:p>
    <w:p>
      <w:pPr>
        <w:ind w:left="420"/>
      </w:pPr>
      <w:r>
        <w:t xml:space="preserve">9. die Entscheidung über das Vorliegen der Voraussetzungen nach § 110 Absatz 2 und 4,</w:t>
      </w:r>
    </w:p>
    <w:p>
      <w:pPr>
        <w:ind w:left="420"/>
      </w:pPr>
      <w:r>
        <w:t xml:space="preserve">10. die Festlegung und Feststellung der notwendigen technischen Anpassungen und Kosten im Rahmen der Umstellung der Gasqualität nach § 19a Absatz 2,</w:t>
      </w:r>
    </w:p>
    <w:p>
      <w:pPr>
        <w:ind w:left="420"/>
      </w:pPr>
      <w:r>
        <w:t xml:space="preserve">11. die Veröffentlichung nach § 23b Absatz 1, mit Ausnahme von § 23b Absatz 1 Satz 1 Nummer 7 und 10 bis 13, die zugleich auch die Bundesnetzagentur wahrnehmen kann, und</w:t>
      </w:r>
    </w:p>
    <w:p>
      <w:pPr>
        <w:ind w:left="420"/>
      </w:pPr>
      <w:r>
        <w:t xml:space="preserve">12. die Genehmigung der vollständig integrierten Netzkomponenten nach § 11b Absatz 1 Nummer 2 zweiter Halbsatz.</w:t>
      </w:r>
    </w:p>
    <w:p>
      <w:r>
        <w:t xml:space="preserve">soweit Energieversorgungsunternehmen betroffen sind, an deren Elektrizitäts- oder Gasverteilernetz jeweils weniger als 100 000 Kunden unmittelbar oder mittelbar angeschlossen sind. Satz 1 gilt nicht, wenn ein Elektrizitäts- oder Gasverteilernetz über das Gebiet eines Landes hinausreicht. Satz 1 Nummer 6, 7 und 8 gilt nicht, soweit die Erfüllung der Aufgaben mit dem Anschluss von Biogasanlagen im Zusammenhang steht. Für die Feststellung der Zahl der angeschlossenen Kunden sind die Verhältnisse am 13. Juli 2005 für das Jahr 2005 und das Jahr 2006 und danach diejenigen am 31. Dezember eines Jahres jeweils für die Dauer des folgenden Jahres maßgeblich. Begonnene behördliche oder gerichtliche Verfahren werden von der Behörde beendet, die zu Beginn des behördlichen Verfahrens zuständig war.</w:t>
      </w:r>
    </w:p>
    <w:p>
      <w:r>
        <w:t xml:space="preserve">(3) Weist eine Vorschrift dieses Gesetzes eine Zuständigkeit nicht einer bestimmten Behörde zu, so nimmt die Bundesnetzagentur die in diesem Gesetz der Behörde übertragenen Aufgaben und Befugnisse wahr. Ist zur Wahrung gleichwertiger wirtschaftlicher Verhältnisse im Bundesgebiet eine bundeseinheitliche Festlegung nach § 29 Absatz 1 erforderlich, so nimmt die Bundesnetzagentur die in diesem Gesetz oder auf Grund dieses Gesetzes vorgesehenen Festlegungsbefugnisse wahr. Sie ist zuständig für die bundesweit einheitliche Festlegung der Bedingungen und Methoden für den Netzzugang, der Bedingungen und Methoden zur Ermittlung der dafür erhobenen Entgelte nach den §§ 20 bis 23a sowie nach den §§ 24 bis 24b sowie für Vorgaben betreffend das Verfahren für die Genehmigung von vollständig integrierten Netzkomponenten nach § 11b Absatz 5 zweite Alternative in Verbindung mit § 11b Absatz 1 Nummer 2 zweiter Halbsatz. Beabsichtigt die Bundesnetzagentur, bundeseinheitliche Festlegungen im Sinne der Sätze 2 und 3 zu treffen, hat sie das Benehmen mit dem Länderausschuss herzustellen. Hierzu hat die Bundesnetzagentur vor einer solchen Festlegung den Länderausschuss bei der Bundesnetzagentur mit angemessener Frist, die mindestens zwei Wochen beträgt, mit dem geplanten Inhalt der angestrebten Festlegung zu befassen. Ist zwei Wochen nach der Befassung des Länderausschusses ein Benehmen nicht hergestellt, hat die Bundesnetzagentur die mehrheitliche Auffassung des Länderausschusses bei ihrer Festlegung zu berücksichtigen und, soweit sie dessen Auffassung nicht folgt, im Rahmen ihrer Festlegung zu begründen, warum eine Berücksichtigung der mehrheitlichen Auffassung des Länderausschusses nicht erfolgen konnte. Die Vorgaben der bundesweit einheitlichen Festlegungen berühren nicht das Verwaltungsverfahren der Landesregulierungsbehörden.</w:t>
      </w:r>
    </w:p>
    <w:p>
      <w:r>
        <w:rPr>
          <w:color w:val="555555"/>
          <w:sz w:val="17"/>
        </w:rPr>
        <w:t xml:space="preserve">Zitiervorschlag: § 54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