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51a EnWG 2005 — Monitoring des Lastmanagements</w:t>
      </w:r>
    </w:p>
    <w:p>
      <w:r>
        <w:rPr>
          <w:color w:val="555555"/>
          <w:sz w:val="18"/>
        </w:rPr>
        <w:t xml:space="preserve">Energiewirtschaftsgesetz</w:t>
      </w:r>
    </w:p>
    <w:p>
      <w:r>
        <w:rPr>
          <w:color w:val="555555"/>
          <w:sz w:val="18"/>
        </w:rPr>
        <w:t xml:space="preserve">Stand: 10.06.2019 (konsolidierte Textfassung, kein amtliches Inkrafttretensdatum)</w:t>
      </w:r>
    </w:p>
    <w:p>
      <w:r>
        <w:t xml:space="preserve">(1) Die Regulierungsbehörde kann zur Durchführung des Monitorings nach § 51 ein Monitoring des Beitrags von Lastmanagement zur Versorgungssicherheit durchführen. Dazu kann die Regulierungsbehörde von Unternehmen und Vereinigungen von Unternehmen, die einen jährlichen Stromverbrauch von mehr als 50 Gigawattstunden haben, Informationen verlangen, die erforderlich sein können, um den heutigen und künftigen Beitrag von Lastmanagement im Adressatenkreis für die Versorgungssicherheit an den Strommärkten zu analysieren. Auf Verlangen des Bundesministeriums für Wirtschaft und Energie muss die Regulierungsbehörde die Informationen einholen und diesem in angemessener Frist sowie in geeigneter Form zur Verfügung stellen.</w:t>
      </w:r>
    </w:p>
    <w:p>
      <w:r>
        <w:t xml:space="preserve">(2) Die Regulierungsbehörde soll das Marktstammdatenregister nach § 111e nutzen, sobald und soweit darin Daten im Sinne des Absatzes 1 gespeichert sind.</w:t>
      </w:r>
    </w:p>
    <w:p>
      <w:r>
        <w:rPr>
          <w:color w:val="555555"/>
          <w:sz w:val="17"/>
        </w:rPr>
        <w:t xml:space="preserve">Zitiervorschlag: § 51a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https://recht.nulegal.eu/gesetze/EnWG%202005/51a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