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4c EnWG 2005 — Pflichten der Transportnetzbetreiber</w:t>
      </w:r>
    </w:p>
    <w:p>
      <w:r>
        <w:rPr>
          <w:color w:val="555555"/>
          <w:sz w:val="18"/>
        </w:rPr>
        <w:t xml:space="preserve">Energiewirtschaftsgesetz</w:t>
      </w:r>
    </w:p>
    <w:p>
      <w:r>
        <w:rPr>
          <w:color w:val="555555"/>
          <w:sz w:val="18"/>
        </w:rPr>
        <w:t xml:space="preserve">Stand: 10.06.2019 (konsolidierte Textfassung, kein amtliches Inkrafttretensdatum)</w:t>
      </w:r>
    </w:p>
    <w:p>
      <w:r>
        <w:t xml:space="preserve">Die Transportnetzbetreiber haben die Regulierungsbehörde unverzüglich über alle geplanten Transaktionen und Maßnahmen sowie sonstige Umstände zu unterrichten, die eine Neubewertung der Zertifizierungsvoraussetzungen nach den §§ 4a und 4b erforderlich machen können. Sie haben die Regulierungsbehörde insbesondere über Umstände zu unterrichten, in deren Folge eine oder mehrere Personen aus einem oder mehreren Drittstaaten allein oder gemeinsam die Kontrolle über den Transportnetzbetreiber erhalten. Die Regulierungsbehörde hat das Bundesministerium für Wirtschaft und Energie und die Europäische Kommission unverzüglich über Umstände nach Satz 2 zu informieren. Das Bundesministerium für Wirtschaft und Energie kann bei Vorliegen von Umständen nach Satz 2 seine Bewertung nach § 4b Absatz 1 widerrufen.</w:t>
      </w:r>
    </w:p>
    <w:p>
      <w:r>
        <w:rPr>
          <w:color w:val="555555"/>
          <w:sz w:val="17"/>
        </w:rPr>
        <w:t xml:space="preserve">Zitiervorschlag: § 4c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https://recht.nulegal.eu/gesetze/EnWG%202005/4c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