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EnWG 2005 — Anforderungen an Energieanlagen; Verordnungsermächtigung; Festlegungskompetenz</w:t>
      </w:r>
    </w:p>
    <w:p>
      <w:r>
        <w:rPr>
          <w:color w:val="555555"/>
          <w:sz w:val="18"/>
        </w:rPr>
        <w:t xml:space="preserve">Energiewirtschaftsgesetz</w:t>
      </w:r>
    </w:p>
    <w:p>
      <w:r>
        <w:rPr>
          <w:color w:val="555555"/>
          <w:sz w:val="18"/>
        </w:rPr>
        <w:t xml:space="preserve">Stand: 31.12.2025 (konsolidierte Textfassung, kein amtliches Inkrafttretensdatum)</w:t>
      </w:r>
    </w:p>
    <w:p>
      <w:r>
        <w:t xml:space="preserve">(1) Energieanlagen sind so zu errichten und zu betreiben, dass die technische Sicherheit gewährleistet ist. Dabei sind vorbehaltlich sonstiger Rechtsvorschriften die allgemein anerkannten Regeln der Technik zu beachten.</w:t>
      </w:r>
    </w:p>
    <w:p>
      <w:r>
        <w:t xml:space="preserve">(2) Die Einhaltung der allgemein anerkannten Regeln der Technik wird vermutet, wenn bei Anlagen zur Erzeugung, Fortleitung und Abgabe von</w:t>
      </w:r>
    </w:p>
    <w:p>
      <w:pPr>
        <w:ind w:left="420"/>
      </w:pPr>
      <w:r>
        <w:t xml:space="preserve">1. Elektrizität die technischen Regeln des Verbandes der Elektrotechnik Elektronik Informationstechnik e. V.,</w:t>
      </w:r>
    </w:p>
    <w:p>
      <w:pPr>
        <w:ind w:left="420"/>
      </w:pPr>
      <w:r>
        <w:t xml:space="preserve">2. Gas und Wasserstoff die technischen Regeln des Deutschen Vereins des Gas- und Wasserfaches e. V.</w:t>
      </w:r>
    </w:p>
    <w:p>
      <w:r>
        <w:t xml:space="preserve">eingehalten worden sind. Die Bundesnetzagentur kann durch Festlegung nach § 29 Absatz 1 zu Grundsätzen und Verfahren der Einführung technischer Sicherheitsregeln nähere Bestimmungen treffen, soweit die technischen Sicherheitsregeln den Betrieb von Energieanlagen betreffen. Die Festlegungsbefugnis nach Satz 2 umfasst insbesondere den Erlass von Vorgaben zu den Verfahrensschritten, zum zeitlichen Ablauf der Verfahren, zum Verfahren der Entscheidungsfindung und zur Ausgestaltung und Wirkung von verbandsinternen Rechtsbehelfen. Die Bundesnetzagentur ist befugt, sich jederzeit an den Beratungen im Rahmen der Verfahren zur Erstellung der technischen Regeln nach Satz 1 zu beteiligen, Auskünfte und Stellungnahmen zum Stand der Beratungen einzuholen und den in Satz 1 bezeichneten Verbänden aufzugeben, binnen einer angemessenen Frist einen Entwurf der technischen Sicherheitsregeln zur verbandsinternen Entscheidung einzubringen. Teil 8 dieses Gesetzes ist anzuwenden.</w:t>
      </w:r>
    </w:p>
    <w:p>
      <w:r>
        <w:t xml:space="preserve">(2a) Unbeschadet sonstiger Anforderungen nach Absatz 1 müssen bei der Errichtung oder Erneuerung von Anlagen zur landseitigen Stromversorgung für den Seeverkehr die technischen Spezifikationen der Norm IEC/ISO/IEEE 80005-1, Edition 1.0, Juli 2012,[*] eingehalten werden, soweit sie auf die landseitige Stromversorgung anwendbar sind.</w:t>
      </w:r>
    </w:p>
    <w:p>
      <w:r>
        <w:t xml:space="preserve">(2b) Witterungsbedingte Anlagengeräusche von Höchstspannungsnetzen gelten unabhängig von der Häufigkeit und Zeitdauer der sie verursachenden Wetter- und insbesondere Niederschlagsgeschehen bei der Beurteilung des Vorliegens schädlicher Umwelteinwirkungen im Sinne von § 3 Absatz 1 und § 22 des Bundes-Immissionsschutzgesetzes als seltene Ereignisse im Sinne der Sechsten Allgemeinen Verwaltungsvorschrift zum Bundes-Immissionsschutzgesetz (Technische Anleitung zum Schutz gegen Lärm). Bei diesen seltenen Ereignissen kann der Nachbarschaft eine höhere als die nach Nummer 6.1 der Technischen Anleitung zum Schutz gegen Lärm zulässige Belastung zugemutet werden. Die in Nummer 6.3 der Technischen Anleitung zum Schutz gegen Lärm genannten Werte dürfen nicht überschritten werden. Nummer 7.2 Absatz 2 Satz 3 der Technischen Anleitung zum Schutz gegen Lärm ist nicht anzuwenden.</w:t>
      </w:r>
    </w:p>
    <w:p>
      <w:r>
        <w:t xml:space="preserve">(3) Bei Anlagen oder Bestandteilen von Anlagen, die nach den in einem anderen Mitgliedstaat der Europäischen Union oder in einem anderen Vertragsstaat des Abkommens über den Europäischen Wirtschaftsraum geltenden Regelungen oder Anforderungen rechtmäßig hergestellt und in den Verkehr gebracht wurden und die gleiche Sicherheit gewährleisten, ist davon auszugehen, dass die Anforderungen nach Absatz 1 an die Beschaffenheit der Anlagen erfüllt sind. In begründeten Einzelfällen ist auf Verlangen der nach Landesrecht zuständigen Behörde nachzuweisen, dass die Anforderungen nach Satz 1 erfüllt sind.</w:t>
      </w:r>
    </w:p>
    <w:p>
      <w:r>
        <w:t xml:space="preserve">(4) Das Bundesministerium für Wirtschaft und Energie wird ermächtigt, durch Rechtsverordnung mit Zustimmung des Bundesrates</w:t>
      </w:r>
    </w:p>
    <w:p>
      <w:pPr>
        <w:ind w:left="420"/>
      </w:pPr>
      <w:r>
        <w:t xml:space="preserve">1. Anforderungen an die technische Sicherheit und Flexibilität sowie die Errichtung und den Betrieb von Energieanlagen und Energieanlagenteilen einschließlich der Anforderungen zur Gewährleistung der Interoperabilität bei Ladepunkten für Elektromobile festzulegen;</w:t>
      </w:r>
    </w:p>
    <w:p>
      <w:pPr>
        <w:ind w:left="420"/>
      </w:pPr>
      <w:r>
        <w:t xml:space="preserve">2. das Verfahren zur Sicherstellung der Anforderungen nach Nummer 1 oder zur Sicherstellung von in unmittelbar geltenden Rechtsakten der Europäischen Union bestimmten Anforderungen an Ladepunkte für Elektromobile und deren Betreiber zu regeln, insbesondere</w:t>
      </w:r>
    </w:p>
    <w:p>
      <w:pPr>
        <w:ind w:left="780"/>
      </w:pPr>
      <w:r>
        <w:t xml:space="preserve">a) zu bestimmen, dass und wo die Errichtung solcher Energieanlagen und Energieanlagenteile, ihre Inbetriebnahme, die Vornahme von Änderungen oder Erweiterungen und sonstige die Energieanlagen und Energieanlagenteile betreffenden Umstände angezeigt werden müssen,</w:t>
      </w:r>
    </w:p>
    <w:p>
      <w:pPr>
        <w:ind w:left="780"/>
      </w:pPr>
      <w:r>
        <w:t xml:space="preserve">b) zu bestimmen, dass bestimmte Nachweise der Anzeige nach Buchstabe a beigefügt oder nach Inbetriebnahme der Energieanlage auf Anforderung übermittelt werden müssen,</w:t>
      </w:r>
    </w:p>
    <w:p>
      <w:pPr>
        <w:ind w:left="780"/>
      </w:pPr>
      <w:r>
        <w:t xml:space="preserve">c) zu bestimmen, dass mit der Errichtung und dem Betrieb der Energieanlagen erst nach Ablauf bestimmter Registrierungen, Prüfungen oder Prüffristen begonnen werden darf,</w:t>
      </w:r>
    </w:p>
    <w:p>
      <w:pPr>
        <w:ind w:left="780"/>
      </w:pPr>
      <w:r>
        <w:t xml:space="preserve">d) zu bestimmen, unter welchen Voraussetzungen schriftliche und elektronische Nachweisdokumente gültig sind,</w:t>
      </w:r>
    </w:p>
    <w:p>
      <w:pPr>
        <w:ind w:left="780"/>
      </w:pPr>
      <w:r>
        <w:t xml:space="preserve">e) eine Pflicht der Betreiber von öffentlich zugänglichen Ladepunkten für Elektromobile zur Erfassung und zur Übermittlung von Daten dieser Ladepunkte an die Bundesnetzagentur sowie die Anforderungen an die Ausgestaltung der Datenerfassung und der Datenübermittlung festzulegen;</w:t>
      </w:r>
    </w:p>
    <w:p>
      <w:pPr>
        <w:ind w:left="420"/>
      </w:pPr>
      <w:r>
        <w:t xml:space="preserve">2a. eine Pflicht der Bundesnetzagentur zur Übermittlung von Daten von öffentlich zugänglichen Ladepunkten für Elektromobile an die nach Landesrecht für die Wahrnehmung der Aufgaben nach dem Mess- und Eichgesetz oder nach den aufgrund des Mess- und Eichgesetzes erlassenen Rechtsverordnungen zuständigen Behörden festzulegen;</w:t>
      </w:r>
    </w:p>
    <w:p>
      <w:pPr>
        <w:ind w:left="420"/>
      </w:pPr>
      <w:r>
        <w:t xml:space="preserve">3. Prüfungen der Einhaltung der Anforderungen an Energieanlagen und Energieanlagenteile vor Errichtung und Inbetriebnahme und deren Überprüfungen vorzusehen und festzulegen, dass</w:t>
      </w:r>
    </w:p>
    <w:p>
      <w:pPr>
        <w:ind w:left="780"/>
      </w:pPr>
      <w:r>
        <w:t xml:space="preserve">a) hierzu geeignete Nachweise verlangt werden dürfen,</w:t>
      </w:r>
    </w:p>
    <w:p>
      <w:pPr>
        <w:ind w:left="780"/>
      </w:pPr>
      <w:r>
        <w:t xml:space="preserve">b) diese Prüfungen und Überprüfungen durch behördlich anerkannte Sachverständige zu erfolgen haben.</w:t>
      </w:r>
    </w:p>
    <w:p>
      <w:pPr>
        <w:ind w:left="420"/>
      </w:pPr>
      <w:r>
        <w:t xml:space="preserve">4. Anordnungsbefugnisse festzulegen, insbesondere die behördliche Befugnis, den Bau und den Betrieb von Energieanlagen zu untersagen, wenn das Vorhaben nicht den in der Rechtsverordnung geregelten Anforderungen entspricht;</w:t>
      </w:r>
    </w:p>
    <w:p>
      <w:pPr>
        <w:ind w:left="420"/>
      </w:pPr>
      <w:r>
        <w:t xml:space="preserve">5. zu bestimmen, welche Auskünfte die zuständige Behörde vom Betreiber der Energieanlage gemäß Absatz 6 Satz 1 und von sonstigen zuständigen Stellen verlangen kann;</w:t>
      </w:r>
    </w:p>
    <w:p>
      <w:pPr>
        <w:ind w:left="420"/>
      </w:pPr>
      <w:r>
        <w:t xml:space="preserve">6. die Einzelheiten des Verfahrens zur Anerkennung von Sachverständigen, die bei der Prüfung der technischen Sicherheit der Energieanlagen tätig werden, sowie der Anzeige der vorübergehenden Tätigkeit von Sachverständigen aus anderen Mitgliedstaaten der Europäischen Union oder eines Vertragsstaates des Abkommens über den Europäischen Wirtschaftsraum zu bestimmen;</w:t>
      </w:r>
    </w:p>
    <w:p>
      <w:pPr>
        <w:ind w:left="420"/>
      </w:pPr>
      <w:r>
        <w:t xml:space="preserve">7. Anforderungen sowie Meldepflichten festzulegen, die Sachverständige nach Nummer 6 und die Stellen, denen sie angehören, erfüllen müssen, insbesondere zur Gewährleistung ihrer fachlichen Qualifikation, Unabhängigkeit und Zuverlässigkeit;</w:t>
      </w:r>
    </w:p>
    <w:p>
      <w:pPr>
        <w:ind w:left="420"/>
      </w:pPr>
      <w:r>
        <w:t xml:space="preserve">8. Anforderungen an die technische und betriebliche Flexibilität neuer Energieanlagen und Energieanlagenteile zur Erzeugung von Energie zu treffen;</w:t>
      </w:r>
    </w:p>
    <w:p>
      <w:pPr>
        <w:ind w:left="420"/>
      </w:pPr>
      <w:r>
        <w:t xml:space="preserve">9. Rechte und Pflichten fachlich qualifizierter Stellen zur Errichtung, zu Inhalten, zum Betrieb, zur Pflege und zur Weiterentwicklung von Datenbanken, in denen Nachweise nach Nummer 2 gespeichert werden, und zur Überprüfung und Sicherstellung der Korrektheit der gespeicherten Informationen festzulegen sowie die Rechtswirkungen der gespeicherten Informationen festzulegen;</w:t>
      </w:r>
    </w:p>
    <w:p>
      <w:pPr>
        <w:ind w:left="420"/>
      </w:pPr>
      <w:r>
        <w:t xml:space="preserve">10. Rechte und Pflichten der Betreiber von Elektrizitätsversorgungsnetzen, der Betreiber von Energieanlagen und der sonstigen zuständigen Stellen für den Fall festzulegen, dass an das jeweilige Elektrizitätsversorgungsnetz angeschlossene Energieanlagen nicht den Anforderungen einer nach den Nummern 1 bis 8 erlassenen Rechtsverordnung entsprechen, und dabei insbesondere vorzusehen, dass diese Energieanlagen vom Elektrizitätsversorgungsnetz zu trennen sind, und festzulegen, unter welchen Bedingungen sie wieder in Betrieb genommen werden können, sowie Regelungen zur Erstattung der dem Betreiber von Elektrizitätsversorgungsnetzen durch die Netztrennung und die etwaige Wiederherstellung des Anschlusses entstandenen Kosten durch den Betreiber der Energieanlage zu treffen.</w:t>
      </w:r>
    </w:p>
    <w:p>
      <w:r>
        <w:t xml:space="preserve">Die Regelungen des Erneuerbare-Energien-Gesetzes und des Kraft-Wärme-Kopplungsgesetzes bleiben davon unberührt.</w:t>
      </w:r>
    </w:p>
    <w:p>
      <w:r>
        <w:t xml:space="preserve">(4a) Das Bundesministerium für Wirtschaft und Energie wird ermächtigt, durch Rechtsverordnung mit Zustimmung des Bundesrates einen Ausschuss zur Beratung in Fragen der technischen Sicherheit von Gasversorgungsnetzen und Gas-Direktleitungen einschließlich der dem Leitungsbetrieb dienenden Anlagen einzusetzen. Diesem Ausschuss kann insbesondere die Aufgabe übertragen werden, vorzuschlagen, welches Anforderungsprofil Sachverständige, die die technische Sicherheit dieser Energieanlagen prüfen, erfüllen müssen, um den in einer Verordnung nach Absatz 4 festgelegten Anforderungen zu genügen. Das Bundesministerium für Wirtschaft und Energie kann das Anforderungsprofil im Bundesanzeiger veröffentlichen. In den Ausschuss sind sachverständige Personen zu berufen, insbesondere aus dem Kreis</w:t>
      </w:r>
    </w:p>
    <w:p>
      <w:pPr>
        <w:ind w:left="420"/>
      </w:pPr>
      <w:r>
        <w:t xml:space="preserve">1. der Sachverständigen, die bei der Prüfung der Energieanlagen tätig werden,</w:t>
      </w:r>
    </w:p>
    <w:p>
      <w:pPr>
        <w:ind w:left="420"/>
      </w:pPr>
      <w:r>
        <w:t xml:space="preserve">2. der Stellen, denen Sachverständige nach Nummer 1 angehören,</w:t>
      </w:r>
    </w:p>
    <w:p>
      <w:pPr>
        <w:ind w:left="420"/>
      </w:pPr>
      <w:r>
        <w:t xml:space="preserve">3. der zuständigen Behörden und</w:t>
      </w:r>
    </w:p>
    <w:p>
      <w:pPr>
        <w:ind w:left="420"/>
      </w:pPr>
      <w:r>
        <w:t xml:space="preserve">4. der Betreiber von Energieanlagen.</w:t>
      </w:r>
    </w:p>
    <w:p>
      <w:r>
        <w:t xml:space="preserve">(5) Die nach Landesrecht zuständige Behörde kann im Einzelfall die zur Sicherstellung der Anforderungen an die technische Sicherheit von Energieanlagen erforderlichen Maßnahmen treffen.</w:t>
      </w:r>
    </w:p>
    <w:p>
      <w:r>
        <w:t xml:space="preserve">(6) Die Betreiber von Energieanlagen haben auf Verlangen der nach Landesrecht zuständigen Behörde Auskünfte über technische und wirtschaftliche Verhältnisse zu geben, die zur Wahrnehmung der Aufgaben nach Absatz 5 erforderlich sind. Der Auskunftspflichtige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w:t>
      </w:r>
    </w:p>
    <w:p>
      <w:r>
        <w:t xml:space="preserve">(7) Die von der nach Landesrecht zuständigen Behörde mit der Aufsicht beauftragten Personen sind berechtigt, Betriebsgrundstücke, Geschäftsräume und Einrichtungen der Betreiber von Energieanlagen zu betreten, dort Prüfungen vorzunehmen sowie die geschäftlichen und betrieblichen Unterlagen der Betreiber von Energieanlagen einzusehen, soweit dies zur Wahrnehmung der Aufgaben nach Absatz 5 erforderlich ist.</w:t>
      </w:r>
    </w:p>
    <w:p>
      <w:r>
        <w:t xml:space="preserve">__________</w:t>
      </w:r>
    </w:p>
    <w:p>
      <w:r>
        <w:t xml:space="preserve">* Amtlicher Hinweis: Die Norm ist bei der Beuth Verlag GmbH, Berlin, zu beziehen.</w:t>
      </w:r>
    </w:p>
    <w:p>
      <w:r>
        <w:rPr>
          <w:color w:val="555555"/>
          <w:sz w:val="17"/>
        </w:rPr>
        <w:t xml:space="preserve">Zitiervorschlag: § 49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