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45b EnWG 2005 — Parallelführung von Planfeststellungs- und Enteignungsverfahren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Der Träger des Vorhabens kann verlangen, dass nach Abschluss der Anhörung ein vorzeitiges Enteignungsverfahren durchgeführt wird. Dabei ist der nach dem Verfahrensstand zu erwartende Planfeststellungsbeschluss dem Enteignungsverfahren zugrunde zu legen. Der Enteignungsbeschluss ist mit der aufschiebenden Bedingung zu erlassen, dass sein Ergebnis durch den Planfeststellungsbeschluss bestätigt wird. Anderenfalls ist das Enteignungsverfahren auf der Grundlage des ergangenen Planfeststellungsbeschlusses zu ergänzen.</w:t>
      </w:r>
    </w:p>
    <w:p>
      <w:r>
        <w:rPr>
          <w:color w:val="555555"/>
          <w:sz w:val="17"/>
        </w:rPr>
        <w:t xml:space="preserve">Zitiervorschlag: § 45b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