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43o EnWG 2005 — Vergleich zur ursprünglichen Netzinfrastruktur</w:t>
      </w:r>
    </w:p>
    <w:p>
      <w:r>
        <w:rPr>
          <w:color w:val="555555"/>
          <w:sz w:val="18"/>
        </w:rPr>
        <w:t xml:space="preserve">Energiewirtschaftsgesetz</w:t>
      </w:r>
    </w:p>
    <w:p>
      <w:r>
        <w:rPr>
          <w:color w:val="555555"/>
          <w:sz w:val="18"/>
        </w:rPr>
        <w:t xml:space="preserve">Stand: 31.12.2025 (konsolidierte Textfassung, kein amtliches Inkrafttretensdatum)</w:t>
      </w:r>
    </w:p>
    <w:p>
      <w:r>
        <w:t xml:space="preserve">Unterliegt die Änderung oder Erweiterung einer Leitung, ein Ersatzneubau oder ein Parallelneubau bei einer Maßnahme nach § 43 Absatz 1 Satz 1 Nummer 1 bis 4 einem Überprüfungsverfahren nach § 43n Absatz 3, einer Feststellung, ob eine Umweltverträglichkeitsprüfung erforderlich ist, oder einer Umweltverträglichkeitsprüfung, so beschränkt sich dieses Überprüfungsverfahren, diese Feststellung oder diese Umweltverträglichkeitsprüfung auf die potenziellen Auswirkungen, die sich aus der Änderung oder Erweiterung der Leitung, dem Ersatzneubau oder dem Parallelneubau im Vergleich zur ursprünglichen Netzinfrastruktur ergeben. Bei der Festsetzung einer Kompensation aufgrund einer Beeinträchtigung des Landschaftsbildes ist auf die Veränderung gegenüber der Bestandssituation abzustellen.</w:t>
      </w:r>
    </w:p>
    <w:p>
      <w:r>
        <w:rPr>
          <w:color w:val="555555"/>
          <w:sz w:val="17"/>
        </w:rPr>
        <w:t xml:space="preserve">Zitiervorschlag: § 43o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https://recht.nulegal.eu/gesetze/EnWG%202005/43o</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