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43l EnWG 2005 — Regelungen zum Auf- und Ausbau von Wasserstoffnetzen</w:t>
      </w:r>
    </w:p>
    <w:p>
      <w:r>
        <w:rPr>
          <w:color w:val="555555"/>
          <w:sz w:val="18"/>
        </w:rPr>
        <w:t xml:space="preserve">Energiewirtschaftsgesetz</w:t>
      </w:r>
    </w:p>
    <w:p>
      <w:r>
        <w:rPr>
          <w:color w:val="555555"/>
          <w:sz w:val="18"/>
        </w:rPr>
        <w:t xml:space="preserve">Stand: 02.04.2026 (konsolidierte Textfassung, kein amtliches Inkrafttretensdatum)</w:t>
      </w:r>
    </w:p>
    <w:p>
      <w:r>
        <w:t xml:space="preserve">(1) Der Begriff der Gasversorgungsleitung in Teil 5 dieses Gesetzes umfasst auch Wasserstoffnetze. Die Errichtung von Wasserstoffleitungen liegt im überragenden öffentlichen Interesse und dient der öffentlichen Sicherheit. Satz 2 ist nicht bei der jeweils durchzuführenden Schutzgüterabwägung gegenüber Belangen der Landes- und Bündnisverteidigung anzuwenden.</w:t>
      </w:r>
    </w:p>
    <w:p>
      <w:r>
        <w:t xml:space="preserve">(2) Die Errichtung und der Betrieb sowie die Änderung von Wasserstoffleitungen mit einem Durchmesser von mehr als 300 Millimetern einschließlich der Anbindungsleitungen von Anlagen zur Erzeugung, zur Speicherung und zum Import von Wasserstoff mit einem Durchmesser von mehr als 300 Millimetern bedürfen der Planfeststellung durch die nach Landesrecht für Verfahren nach § 43 Absatz 1 Satz 1 Nummer 5 zuständige Behörde. Die nach Landesrecht zuständige Behörde fasst den Planfeststellungsbeschluss innerhalb von zwölf Monaten. Sie kann die Frist um bis zu sechs Monate verlängern, wenn dies wegen der Schwierigkeit der Prüfung oder aus Gründen, die dem Antragsteller zuzurechnen sind, erforderlich ist. Die Fristverlängerung ist gegenüber dem Antragsteller zu begründen. Die Frist nach Satz 2 beginnt mit Auslegung der Planunterlagen nach § 43a Absatz 3. § 43 Absatz 3 Satz 2 bis 4, Absatz 3c Satz 1 Nummer 1 und 3 und § 48a dieses Gesetzes sowie Anlage 1 Nummer 19.2 zu dem Gesetz über die Umweltverträglichkeitsprüfung sind auf Wasserstoffleitungen entsprechend anzuwenden. Die auf Verfahren nach § 43 Absatz 1 Satz 1 Nummer 5 anwendbaren Vorschriften sind entsprechend anzuwenden.</w:t>
      </w:r>
    </w:p>
    <w:p>
      <w:r>
        <w:t xml:space="preserve">(3) Auf Antrag des Trägers des Vorhabens kann die nach Landesrecht für Verfahren nach § 43 Absatz 1 Satz 1 Nummer 5 zuständige Behörde die Errichtung und den Betrieb sowie die Änderung von Wasserstoffleitungen einschließlich der Anbindungsleitungen von Anlagen zur Erzeugung, zur Speicherung und zum Import von Wasserstoff mit einem Durchmesser von 300 Millimetern oder weniger durch Planfeststellung zulassen. § 43 Absatz 2 Satz 1 Nummer 1 bleibt unberührt. Absatz 2 Satz 2 bis 7 ist entsprechend anzuwenden.</w:t>
      </w:r>
    </w:p>
    <w:p>
      <w:r>
        <w:t xml:space="preserve">(4) Behördliche Zulassungen für die Errichtung, die Änderung und den Betrieb einer Gasversorgungsleitung für Erdgas einschließlich der für den Betrieb notwendigen Anlagen, soweit sie in ein Planfeststellungsverfahren integriert wurden und keine nach dem Bundes-Immissionsschutzgesetz genehmigungsbedürftigen Anlagen sind, gelten auch als Zulassung für den Transport von Wasserstoff. Das Gleiche ist für Gasversorgungsleitungen für Erdgas anzuwenden, für die zum Zeitpunkt der Errichtung ein Anzeigenvorbehalt bestand. Die §§ 49 und 113c bleiben unberührt. Für erforderliche Änderungen oder Erweiterungen von Gasversorgungsleitungen zur Ermöglichung des Transports von Wasserstoff bleibt § 43f unberührt.</w:t>
      </w:r>
    </w:p>
    <w:p>
      <w:r>
        <w:t xml:space="preserve">(5) Absatz 4 ist entsprechend anzuwenden auf behördliche Zulassungen und Anzeigenvorbehalte für Gas-, Wasserstoff- und Produktleitungen auf Grundlage eines anderen Gesetzes.</w:t>
      </w:r>
    </w:p>
    <w:p>
      <w:r>
        <w:t xml:space="preserve">(6) Die anlagenbezogenen Regelungen des Bundes-Immissionsschutzgesetzes bleiben unberührt.</w:t>
      </w:r>
    </w:p>
    <w:p>
      <w:r>
        <w:t xml:space="preserve">(7) Der in § 35 Absatz 1 Nummer 3 des Baugesetzbuches verwendete Begriff des Gases sowie der in § 1 Satz 1 Nummer 14 der Raumordnungsverordnung genannte Begriff der Gasleitungen umfassen auch Wasserstoffnetze.</w:t>
      </w:r>
    </w:p>
    <w:p>
      <w:r>
        <w:t xml:space="preserve">(8) Die Absätze 1 bis 7 sind entsprechend anzuwenden für Maßnahmen bei Errichtung und Betrieb sowie bei Änderungen und Erweiterungen von Gasversorgungsleitungen einschließlich der Anbindungsleitungen von LNG-Terminals sowie Nebenanlagen, die der Vorbereitung auf einen Transport von Wasserstoff dienen. Die Absätze 1 bis 7 sind entsprechend anzuwenden auf die Änderung und den Betrieb von Gasversorgungsleitungen, die auf Wasserstoff umgestellt werden, sowie auf die Errichtung, den Betrieb und die Änderung von Gasversorgungsleitungen, die im bestätigten Netzentwicklungsplan Gas und Wasserstoff nach § 15c Absatz 2 Satz 7 oder im genehmigten Wasserstoff-Kernnetz nach § 28q Absatz 2 Satz 4 als zusätzliche Ausbaumaßnahmen im Fernleitungsnetz ausgewiesen worden sind.</w:t>
      </w:r>
    </w:p>
    <w:p>
      <w:r>
        <w:rPr>
          <w:color w:val="555555"/>
          <w:sz w:val="17"/>
        </w:rPr>
        <w:t xml:space="preserve">Zitiervorschlag: § 43l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https://recht.nulegal.eu/gesetze/EnWG%202005/43l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