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43j EnWG 2005 — Leerrohre für Hochspannungsleitungen</w:t>
      </w:r>
    </w:p>
    <w:p>
      <w:r>
        <w:rPr>
          <w:color w:val="555555"/>
          <w:sz w:val="18"/>
        </w:rPr>
        <w:t xml:space="preserve">Energiewirtschaftsgesetz</w:t>
      </w:r>
    </w:p>
    <w:p>
      <w:r>
        <w:rPr>
          <w:color w:val="555555"/>
          <w:sz w:val="18"/>
        </w:rPr>
        <w:t xml:space="preserve">Stand: 10.06.2019 (konsolidierte Textfassung, kein amtliches Inkrafttretensdatum)</w:t>
      </w:r>
    </w:p>
    <w:p>
      <w:r>
        <w:t xml:space="preserve">Bei Vorhaben im Sinne von § 43 Absatz 1 Satz 1 Nummer 2 bis 4 oder Absatz 2 Satz 1 Nummer 2 bis 4 können Leerrohre nach § 43 Absatz 2 Satz 1 Nummer 6 in ein Planfeststellungsverfahren einbezogen werden, wenn</w:t>
      </w:r>
    </w:p>
    <w:p>
      <w:pPr>
        <w:ind w:left="420"/>
      </w:pPr>
      <w:r>
        <w:t xml:space="preserve">1. die Leerrohre im räumlichen und zeitlichen Zusammenhang mit der Baumaßnahme eines Erdkabels verlegt werden und</w:t>
      </w:r>
    </w:p>
    <w:p>
      <w:pPr>
        <w:ind w:left="420"/>
      </w:pPr>
      <w:r>
        <w:t xml:space="preserve">2. die zuständige Behörde anhand der Umstände des Einzelfalls davon ausgehen kann, dass die Leerrohre innerhalb von 15 Jahren nach der Planfeststellung zur Durchführung einer Stromleitung im Sinne von § 43 Absatz 1 Satz 1 Nummer 2 bis 4 oder Absatz 2 Satz 1 Nummer 2 bis 4 genutzt werden.</w:t>
      </w:r>
    </w:p>
    <w:p>
      <w:r>
        <w:t xml:space="preserve">Gegenstand des Planfeststellungsverfahrens und des Planfeststellungsbeschlusses sind die Verlegung der Leerrohre, die spätere Durchführung der Stromleitung und deren anschließender Betrieb. Für die Nutzung der Leerrohre zur Durchführung einer Stromleitung und zu deren anschließendem Betrieb bedarf es keines weiteren Genehmigungsverfahrens, wenn mit der Durchführung der Stromleitung innerhalb der Frist des § 43c Nummer 1 begonnen wird und sich die im Planfeststellungsverfahren zugrunde gelegten Merkmale des Vorhabens nicht geändert haben. Die Einbeziehung von Leerrohren nach Satz 1 kann auf einzelne Abschnitte des betroffenen Vorhabens beschränkt werden.</w:t>
      </w:r>
    </w:p>
    <w:p>
      <w:r>
        <w:rPr>
          <w:color w:val="555555"/>
          <w:sz w:val="17"/>
        </w:rPr>
        <w:t xml:space="preserve">Zitiervorschlag: § 43j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https://recht.nulegal.eu/gesetze/EnWG%202005/43j</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