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43h EnWG 2005 — Ausbau des Hochspannungsnetzes</w:t>
      </w:r>
    </w:p>
    <w:p>
      <w:r>
        <w:rPr>
          <w:color w:val="555555"/>
          <w:sz w:val="18"/>
        </w:rPr>
        <w:t xml:space="preserve">Energiewirtschaftsgesetz</w:t>
      </w:r>
    </w:p>
    <w:p>
      <w:r>
        <w:rPr>
          <w:color w:val="555555"/>
          <w:sz w:val="18"/>
        </w:rPr>
        <w:t xml:space="preserve">Stand: 31.12.2025 (konsolidierte Textfassung, kein amtliches Inkrafttretensdatum)</w:t>
      </w:r>
    </w:p>
    <w:p>
      <w:r>
        <w:t xml:space="preserve">Hochspannungsleitungen auf neuen Trassen mit einer Nennspannung von 110 Kilovolt oder weniger sind als Erdkabel auszuführen, soweit die Gesamtkosten für Errichtung und Betrieb des Erdkabels die Gesamtkosten der technisch vergleichbaren Freileitung den Faktor 2,75 nicht überschreiten und naturschutzfachliche Belange nicht entgegenstehen; die für die Zulassung des Vorhabens zuständige Behörde kann auf Antrag des Vorhabenträgers die Errichtung als Freileitung zulassen, wenn öffentliche Interessen nicht entgegenstehen. Soll der Neubau einer Hochspannungsleitung weit überwiegend in oder unmittelbar neben einer Bestandstrasse durchgeführt werden, handelt es sich nicht um eine neue Trasse im Sinne des Satzes 1. Satz 1 ist ebenfalls nicht anzuwenden, sofern Hochspannungsfreileitungen mit einer Nennspannung von 110 Kilovolt mit einem anderen Vorhaben auf einem Mehrfachgestänge geführt werden sollen und eine einheitliche Entscheidung über beide Vorhaben in einem Planfeststellungsverfahren ergeht.</w:t>
      </w:r>
    </w:p>
    <w:p>
      <w:r>
        <w:rPr>
          <w:color w:val="555555"/>
          <w:sz w:val="17"/>
        </w:rPr>
        <w:t xml:space="preserve">Zitiervorschlag: § 43h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https://recht.nulegal.eu/gesetze/EnWG%202005/43h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