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41d EnWG 2005 — Erbringung von Dienstleistungen außerhalb bestehender Liefer- oder Bezugsverträge; Festlegungskompetenz</w:t>
      </w:r>
    </w:p>
    <w:p>
      <w:r>
        <w:rPr>
          <w:color w:val="555555"/>
          <w:sz w:val="18"/>
        </w:rPr>
        <w:t xml:space="preserve">Energiewirtschaftsgesetz</w:t>
      </w:r>
    </w:p>
    <w:p>
      <w:r>
        <w:rPr>
          <w:color w:val="555555"/>
          <w:sz w:val="18"/>
        </w:rPr>
        <w:t xml:space="preserve">Stand: 30.07.2021 (konsolidierte Textfassung, kein amtliches Inkrafttretensdatum)</w:t>
      </w:r>
    </w:p>
    <w:p>
      <w:r>
        <w:t xml:space="preserve">(1) Großhändler und Lieferanten von Elektrizität sowie betroffene Bilanzkreisverantwortliche haben es Betreibern einer Erzeugungsanlage und Letztverbrauchern, sofern deren Stromeinspeisung und Stromentnahme jeweils durch eine Zählerstandsgangmessung im Sinne des § 2 Satz 2 Nummer 27 des Messstellenbetriebsgesetzes oder durch eine viertelstündige registrierende Leistungsmessung gemessen wird, auf Verlangen gegen angemessenes Entgelt zu ermöglichen, Dienstleistungen hinsichtlich von Mehr- oder Mindererzeugung sowie von Mehr- oder Minderverbrauch elektrischer Arbeit unabhängig von einem bestehenden Liefer- oder Bezugsvertrag gegenüber Dritten und über einen anderen Bilanzkreis zu erbringen. Ein Entgelt ist angemessen, wenn es den Großhändler und Lieferanten von Elektrizität und den Bilanzkreisverantwortlichen, dessen Bilanzkreis die Einspeise- oder Entnahmestelle des Betreibers einer Erzeugungsanlage oder des Letztverbrauchers zugeordnet ist, wirtschaftlich so stellt, wie sie ohne die Erbringung der Dienstleistungen durch Betreiber einer Erzeugungsanlage oder den Letztverbraucher stünden.</w:t>
      </w:r>
    </w:p>
    <w:p>
      <w:r>
        <w:t xml:space="preserve">(2) Ein vertraglicher Ausschluss der Rechte nach Absatz 1 Satz 1 ist unwirksam. Wird von den Rechten nach Absatz 1 Satz 1 im Rahmen eines Vertragsverhältnisses erstmalig Gebrauch gemacht, ist ein Großhändler oder Lieferant von Elektrizität berechtigt, den Liefer- oder Bezugsvertrag außerordentlich mit einer Frist von drei Kalendermonaten zum Monatsende zu kündigen. Das außerordentliche Kündigungsrecht nach Satz 2 ist ausgeschlossen, sofern eine Belieferung von Haushaltskunden erfolgt.</w:t>
      </w:r>
    </w:p>
    <w:p>
      <w:r>
        <w:t xml:space="preserve">(3) Die Bundesnetzagentur ist berechtigt, durch Festlegung nach § 29 Absatz 1 die in den Absätzen 1 und 2 geregelten Rechte und Pflichten, auch in Bezug auf die Einbeziehung eines Aggregators, näher zu konkretisieren, insbesondere</w:t>
      </w:r>
    </w:p>
    <w:p>
      <w:pPr>
        <w:ind w:left="420"/>
      </w:pPr>
      <w:r>
        <w:t xml:space="preserve">1. zum Austausch erforderlicher Informationen,</w:t>
      </w:r>
    </w:p>
    <w:p>
      <w:pPr>
        <w:ind w:left="420"/>
      </w:pPr>
      <w:r>
        <w:t xml:space="preserve">2. zur Bilanzierung der Energiemengen, wobei sie insbesondere festlegen kann, dass durch Dienstleistungen im Sinne von Absatz 1 Satz 1 verursachte Bilanzkreisabweichungen bilanziell auszugleichen sind,</w:t>
      </w:r>
    </w:p>
    <w:p>
      <w:pPr>
        <w:ind w:left="420"/>
      </w:pPr>
      <w:r>
        <w:t xml:space="preserve">3. zu technischen und administrativen Anforderungen oder Verfahren und</w:t>
      </w:r>
    </w:p>
    <w:p>
      <w:pPr>
        <w:ind w:left="420"/>
      </w:pPr>
      <w:r>
        <w:t xml:space="preserve">4. zum angemessenen Entgelt nach Absatz 1 Satz 2, wobei sie insbesondere festlegen kann, dass ein Entgelt angemessen ist, wenn es auch einen administrativen Aufwand umfasst.</w:t>
      </w:r>
    </w:p>
    <w:p>
      <w:r>
        <w:rPr>
          <w:color w:val="555555"/>
          <w:sz w:val="17"/>
        </w:rPr>
        <w:t xml:space="preserve">Zitiervorschlag: § 41d EnWG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https://recht.nulegal.eu/gesetze/EnWG%202005/41d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