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40a EnWG 2005 — Verbrauchsermittlung für Energierechnungen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Der Energielieferant ist berechtigt, zur Ermittlung des Verbrauchs nach § 40 Absatz 2 Satz 1 Nummer 6 für die Zwecke der Abrechnung</w:t>
      </w:r>
    </w:p>
    <w:p>
      <w:pPr>
        <w:ind w:left="420"/>
      </w:pPr>
      <w:r>
        <w:t xml:space="preserve">1. die Ablesewerte oder rechtmäßig ermittelte Ersatzwerte zu verwenden, die er vom Messstellenbetreiber oder Netzbetreiber erhalten hat,</w:t>
      </w:r>
    </w:p>
    <w:p>
      <w:pPr>
        <w:ind w:left="420"/>
      </w:pPr>
      <w:r>
        <w:t xml:space="preserve">2. die Messeinrichtung selbst abzulesen oder</w:t>
      </w:r>
    </w:p>
    <w:p>
      <w:pPr>
        <w:ind w:left="420"/>
      </w:pPr>
      <w:r>
        <w:t xml:space="preserve">3. die Ablesung der Messeinrichtung vom Letztverbraucher mittels eines Systems der regelmäßigen Selbstablesung und Übermittlung der Ablesewerte durch den Letztverbraucher zu verlangen, sofern keine Fernübermittlung der Verbrauchsdaten erfolgt.</w:t>
      </w:r>
    </w:p>
    <w:p>
      <w:r>
        <w:t xml:space="preserve">Haushaltskunden können einer Selbstablesung im Einzelfall widersprechen, wenn sie ihnen nicht zumutbar ist. Der Energielieferant hat bei einem berechtigten Widerspruch nach Satz 2 eine eigene Ablesung der Messeinrichtung nach Satz 1 Nummer 2 vorzunehmen und darf hierfür kein gesondertes Entgelt verlangen. Bei einer Messung mit einem intelligenten Messsystem nach § 2 Satz 1 Nummer 7 des Messstellenbetriebsgesetzes und bei registrierender Lastgangmessung sind die Werte nach Satz 1 Nummer 1 vorrangig zu verwenden. Der Energielieferant hat in der Rechnung anzugeben, wie ein von ihm verwendeter Zählerstand ermittelt wurde.</w:t>
      </w:r>
    </w:p>
    <w:p>
      <w:r>
        <w:t xml:space="preserve">(2) Soweit ein Letztverbraucher für einen bestimmten Abrechnungszeitraum trotz entsprechender Verpflichtung keine Ablesedaten übermittelt hat oder der Energielieferant aus anderen Gründen, die er nicht zu vertreten hat, den tatsächlichen Verbrauch nicht ermitteln kann, dürfen die Abrechnung oder die Abrechnungsinformation auf einer Verbrauchsschätzung beruhen, die unter angemessener Berücksichtigung der tatsächlichen Verhältnisse zu erfolgen hat. Dabei ist insbesondere auf den Verbrauch des Letztverbrauchers im vorangegangenen Abrechnungszeitraum oder auf den Verbrauch eines vergleichbaren Letztverbrauchers abzustellen. In diesem Fall hat der Energielieferant den geschätzten Verbrauch unter ausdrücklichem und optisch besonders hervorgehobenem Hinweis auf die erfolgte Verbrauchsabschätzung und den einschlägigen Grund für deren Zulässigkeit sowie die der Schätzung zugrunde gelegten Faktoren in der Rechnung anzugeben und auf Wunsch des Letztverbrauchers in Textform und unentgeltlich zu erläutern.</w:t>
      </w:r>
    </w:p>
    <w:p>
      <w:r>
        <w:rPr>
          <w:color w:val="555555"/>
          <w:sz w:val="17"/>
        </w:rPr>
        <w:t xml:space="preserve">Zitiervorschlag: § 40a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