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40 EnWG 2005 — Inhalt von Energierechnungen; Festlegungskompetenz</w:t>
      </w:r>
    </w:p>
    <w:p>
      <w:r>
        <w:rPr>
          <w:color w:val="555555"/>
          <w:sz w:val="18"/>
        </w:rPr>
        <w:t xml:space="preserve">Energiewirtschaftsgesetz</w:t>
      </w:r>
    </w:p>
    <w:p>
      <w:r>
        <w:rPr>
          <w:color w:val="555555"/>
          <w:sz w:val="18"/>
        </w:rPr>
        <w:t xml:space="preserve">Stand: 24.12.2025 (konsolidierte Textfassung, kein amtliches Inkrafttretensdatum)</w:t>
      </w:r>
    </w:p>
    <w:p>
      <w:r>
        <w:t xml:space="preserve">(1) Rechnungen für Energielieferungen an Letztverbraucher müssen einfach und verständlich sein. Sie sind dem Letztverbraucher auf dessen Wunsch verständlich und unentgeltlich zu erläutern. Der Rechnungsbetrag und das Datum der Fälligkeit des Rechnungsbetrages müssen deutlich erkennbar und hervorgehoben sein.</w:t>
      </w:r>
    </w:p>
    <w:p>
      <w:r>
        <w:t xml:space="preserve">(2) Energielieferanten sind verpflichtet, in ihren Rechnungen für Energielieferungen an Letztverbraucher gesondert auszuweisen</w:t>
      </w:r>
    </w:p>
    <w:p>
      <w:pPr>
        <w:ind w:left="420"/>
      </w:pPr>
      <w:r>
        <w:t xml:space="preserve">1. ihren Namen, ihre ladungsfähige Anschrift und das zuständige Registergericht sowie Angaben, die eine unverzügliche telefonische und elektronische Kontaktaufnahme ermöglichen, einschließlich der Adresse der elektronischen Post und einer Telefonnummer der Kunden-Hotline,</w:t>
      </w:r>
    </w:p>
    <w:p>
      <w:pPr>
        <w:ind w:left="420"/>
      </w:pPr>
      <w:r>
        <w:t xml:space="preserve">2. die belieferte Verbrauchsstelle des Letztverbrauchers einschließlich der zur Bezeichnung der Entnahmestelle verwendeten Identifikationsnummer,</w:t>
      </w:r>
    </w:p>
    <w:p>
      <w:pPr>
        <w:ind w:left="420"/>
      </w:pPr>
      <w:r>
        <w:t xml:space="preserve">3. die Vertragsdauer und die geltenden Preise,</w:t>
      </w:r>
    </w:p>
    <w:p>
      <w:pPr>
        <w:ind w:left="420"/>
      </w:pPr>
      <w:r>
        <w:t xml:space="preserve">4. den nächstmöglichen Kündigungstermin und die Kündigungsfrist,</w:t>
      </w:r>
    </w:p>
    <w:p>
      <w:pPr>
        <w:ind w:left="420"/>
      </w:pPr>
      <w:r>
        <w:t xml:space="preserve">5. den zuständigen Messstellenbetreiber, dessen Codenummer sowie die für die Belieferung maßgebliche Identifikationsnummer und die Codenummer des Netzbetreibers,</w:t>
      </w:r>
    </w:p>
    <w:p>
      <w:pPr>
        <w:ind w:left="420"/>
      </w:pPr>
      <w:r>
        <w:t xml:space="preserve">6. bei einer Verbrauchsabrechnung den Anfangszählerstand und den Endzählerstand des abgerechneten Zeitraums, den ermittelten Verbrauch im Abrechnungszeitraum sowie die Art, wie der Zählerstand ermittelt wurde,</w:t>
      </w:r>
    </w:p>
    <w:p>
      <w:pPr>
        <w:ind w:left="420"/>
      </w:pPr>
      <w:r>
        <w:t xml:space="preserve">7. den auch in grafischer Form dargestellten Vergleich des ermittelten Verbrauchs zu dem Verbrauch des vergleichbaren Vorjahreszeitraums,</w:t>
      </w:r>
    </w:p>
    <w:p>
      <w:pPr>
        <w:ind w:left="420"/>
      </w:pPr>
      <w:r>
        <w:t xml:space="preserve">8. den auch in grafischer Form dargestellten Vergleich des eigenen Jahresverbrauchs zu dem Jahresverbrauch von Vergleichskundengruppen,</w:t>
      </w:r>
    </w:p>
    <w:p>
      <w:pPr>
        <w:ind w:left="420"/>
      </w:pPr>
      <w:r>
        <w:t xml:space="preserve">9. die Rechte der Letztverbraucher im Hinblick auf Streitbeilegungsverfahren, die ihnen im Streitfall zur Verfügung stehen, einschließlich der für Verbraucherbeschwerden nach § 111b einzurichtenden Schlichtungsstelle und deren Anschrift,</w:t>
      </w:r>
    </w:p>
    <w:p>
      <w:pPr>
        <w:ind w:left="420"/>
      </w:pPr>
      <w:r>
        <w:t xml:space="preserve">10. die Kontaktdaten des Verbraucherservice der Bundesnetzagentur für den Bereich Elektrizität und Gas,</w:t>
      </w:r>
    </w:p>
    <w:p>
      <w:pPr>
        <w:ind w:left="420"/>
      </w:pPr>
      <w:r>
        <w:t xml:space="preserve">11. Informationen über Kontaktstellen, darunter Internetadressen, zur Beratung in Energieangelegenheiten,</w:t>
      </w:r>
    </w:p>
    <w:p>
      <w:pPr>
        <w:ind w:left="420"/>
      </w:pPr>
      <w:r>
        <w:t xml:space="preserve">12. Hinweise zu der Verfügbarkeit und den Möglichkeiten eines Lieferantenwechsels sowie Informationen über mit einem Vertrauenszeichen versehene Preisvergleichsinstrumente für Vertragsangebote der Stromlieferanten nach § 41c sowie</w:t>
      </w:r>
    </w:p>
    <w:p>
      <w:pPr>
        <w:ind w:left="420"/>
      </w:pPr>
      <w:r>
        <w:t xml:space="preserve">13. die einschlägige Tarif- oder Produktbezeichnung sowie den Hinweis, ob die Belieferung im Rahmen der Grundversorgung oder außerhalb der Grundversorgung erfolgt ist.</w:t>
      </w:r>
    </w:p>
    <w:p>
      <w:r>
        <w:t xml:space="preserve">Wenn der Energielieferant den Letztverbraucher im Vorjahreszeitraum nicht beliefert hat, ist der vormalige Energielieferant verpflichtet, dem neuen Energielieferanten den Verbrauch des vergleichbaren Vorjahreszeitraums mitzuteilen.</w:t>
      </w:r>
    </w:p>
    <w:p>
      <w:r>
        <w:t xml:space="preserve">(3) Strom- oder Gaslieferanten sind verpflichtet, in den Rechnungen folgende Belastungen gesondert auszuweisen, soweit sie Kalkulationsbestandteile der in die Rechnung einfließenden Preise sind:</w:t>
      </w:r>
    </w:p>
    <w:p>
      <w:pPr>
        <w:ind w:left="420"/>
      </w:pPr>
      <w:r>
        <w:t xml:space="preserve">1. die Stromsteuer nach § 3 des Stromsteuergesetzes vom 24. März 1999 (BGBl. I S. 378; 2000 I S. 147) oder die Energiesteuer nach § 2 des Energiesteuergesetzes vom 15. Juli 2006 (BGBl. I S. 1534; 2008 I S. 660, 1007) in der jeweils geltenden Fassung,</w:t>
      </w:r>
    </w:p>
    <w:p>
      <w:pPr>
        <w:ind w:left="420"/>
      </w:pPr>
      <w:r>
        <w:t xml:space="preserve">2. die Konzessionsabgabe nach Maßgabe des § 4 Absatz 1 und 2 der Konzessionsabgabenverordnung vom 9. Januar 1992 (BGBl. I S. 12, 407), die zuletzt durch Artikel 3 Absatz 4 der Verordnung vom 1. November 2006 (BGBl. I S. 2477) geändert worden ist,</w:t>
      </w:r>
    </w:p>
    <w:p>
      <w:pPr>
        <w:ind w:left="420"/>
      </w:pPr>
      <w:r>
        <w:t xml:space="preserve">3. jeweils gesondert die Umlagen und Aufschläge nach § 12 Absatz 1 des Energiefinanzierungsgesetzes, § 19 Absatz 2 der Stromnetzentgeltverordnung und § 18 der Verordnung zu abschaltbaren Lasten vom 28. Dezember 2012 (BGBl. I S. 2998) in der jeweils geltenden Fassung,</w:t>
      </w:r>
    </w:p>
    <w:p>
      <w:pPr>
        <w:ind w:left="420"/>
      </w:pPr>
      <w:r>
        <w:t xml:space="preserve">4. jeweils gesondert die Netzentgelte und, soweit sie Gegenstand des Liefervertrages sind, die Entgelte des Messstellenbetreibers oder des Betreibers von Energieversorgungsnetzen für den Messstellenbetrieb und die Messung,</w:t>
      </w:r>
    </w:p>
    <w:p>
      <w:pPr>
        <w:ind w:left="420"/>
      </w:pPr>
      <w:r>
        <w:t xml:space="preserve">5. bei Gasrechnungen bis zum 31. Dezember 2025 die Kosten in Cent pro Kilowattstunde für den Erwerb von Emissionszertifikaten nach dem Brennstoffemissionshandelsgesetz vom 12. Dezember 2019 (BGBl. I S. 2728) in der jeweils geltenden Fassung, die Umlegung saldierter Kosten nach § 35e sowie die saldierte Preisanpassung aufgrund einer Rechtsverordnung nach § 26 Absatz 1 des Energiesicherungsgesetzes.</w:t>
      </w:r>
    </w:p>
    <w:p>
      <w:r>
        <w:t xml:space="preserve">(4) Energielieferanten haben für Letztverbraucher die für die Forderungen maßgeblichen Berechnungsfaktoren in Rechnungen vollständig und in allgemein verständlicher Form unter Verwendung standardisierter Begriffe und Definitionen auszuweisen.</w:t>
      </w:r>
    </w:p>
    <w:p>
      <w:r>
        <w:t xml:space="preserve">(5) Die Bundesnetzagentur kann Entscheidungen über die Konkretisierung des Mindestinhalts von Rechnungen nach den Absätzen 1 bis 3 sowie Näheres zum standardisierten Format nach Absatz 4 durch Festlegung nach § 29 Absatz 1 gegenüber den Energielieferanten treffen.</w:t>
      </w:r>
    </w:p>
    <w:p>
      <w:r>
        <w:rPr>
          <w:color w:val="555555"/>
          <w:sz w:val="17"/>
        </w:rPr>
        <w:t xml:space="preserve">Zitiervorschlag: § 40 EnWG 2005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Dieses Dokument: https://recht.nulegal.eu/gesetze/EnWG%202005/40</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