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35i EnWG 2005 — Anwendungsbestimmung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03.12.2025 (konsolidierte Textfassung, kein amtliches Inkrafttretensdatum)</w:t>
      </w:r>
    </w:p>
    <w:p>
      <w:r>
        <w:t xml:space="preserve">Die §§ 35a bis 35e sowie die §§ 35g und 35h sind bis zum Ablauf des 31. März 2027 anzuwenden. § 35f ist bis zum Ablauf des 31. Dezember 2027 anzuwenden.</w:t>
      </w:r>
    </w:p>
    <w:p>
      <w:r>
        <w:rPr>
          <w:color w:val="555555"/>
          <w:sz w:val="17"/>
        </w:rPr>
        <w:t xml:space="preserve">Zitiervorschlag: § 35i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https://recht.nulegal.eu/gesetze/EnWG%202005/35i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