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EnWG 2005 — Monitoring und ergänzende Informationen</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Die Regulierungsbehörde führt zur Wahrnehmung ihrer Aufgaben nach diesem Gesetz, insbesondere zur Herstellung von Markttransparenz sowie zur Wahrnehmung ihrer Aufgaben nach dem Kohleverstromungsbeendigungsgesetz vom 8. August 2020 (BGBl. I S. 1818), ein Monitoring durch über</w:t>
      </w:r>
    </w:p>
    <w:p>
      <w:pPr>
        <w:ind w:left="420"/>
      </w:pPr>
      <w:r>
        <w:t xml:space="preserve">1. die Regeln für das Management und die Zuweisung von Verbindungskapazitäten; dies erfolgt in Abstimmung mit der Regulierungsbehörde oder den Regulierungsbehörden der Mitgliedstaaten, mit denen ein Verbund besteht;</w:t>
      </w:r>
    </w:p>
    <w:p>
      <w:pPr>
        <w:ind w:left="420"/>
      </w:pPr>
      <w:r>
        <w:t xml:space="preserve">2. die Mechanismen zur Behebung von Kapazitätsengpässen im nationalen Elektrizitäts- und Gasversorgungsnetz und bei den Verbindungsleitungen;</w:t>
      </w:r>
    </w:p>
    <w:p>
      <w:pPr>
        <w:ind w:left="420"/>
      </w:pPr>
      <w:r>
        <w:t xml:space="preserve">3. die Zeit, die von Betreibern von Übertragungs-, Fernleitungs- und Verteilernetzen für die Herstellung von Anschlüssen und Reparaturen benötigt wird;</w:t>
      </w:r>
    </w:p>
    <w:p>
      <w:pPr>
        <w:ind w:left="420"/>
      </w:pPr>
      <w:r>
        <w:t xml:space="preserve">4. die Veröffentlichung angemessener Informationen über Verbindungsleitungen, Netznutzung und Kapazitätszuweisung für interessierte Parteien durch die Betreiber von Übertragungs-, Fernleitungs- und Verteilernetzen unter Berücksichtigung der Notwendigkeit, nicht statistisch aufbereitete Einzeldaten als Geschäftsgeheimnisse zu behandeln;</w:t>
      </w:r>
    </w:p>
    <w:p>
      <w:pPr>
        <w:ind w:left="420"/>
      </w:pPr>
      <w:r>
        <w:t xml:space="preserve">5. die technische Zusammenarbeit zwischen Betreibern von Übertragungsnetzen innerhalb und außerhalb der Europäischen Gemeinschaft;</w:t>
      </w:r>
    </w:p>
    <w:p>
      <w:pPr>
        <w:ind w:left="420"/>
      </w:pPr>
      <w:r>
        <w:t xml:space="preserve">6. die Bedingungen und Tarife für den Anschluss neuer Elektrizitätserzeuger unter besonderer Berücksichtigung der Kosten und der Vorteile der verschiedenen Technologien zur Elektrizitätserzeugung aus erneuerbaren Energien, der dezentralen Erzeugung und der Kraft-Wärme-Kopplung;</w:t>
      </w:r>
    </w:p>
    <w:p>
      <w:pPr>
        <w:ind w:left="420"/>
      </w:pPr>
      <w:r>
        <w:t xml:space="preserve">7. die Bedingungen für den Zugang zu Gasspeicheranlagen nach den §§ 26 und 28 und insbesondere über Veränderungen der Situation auf dem Speichermarkt, mit dem Ziel, dem Bundesministerium für Wirtschaft und Energie eine Überprüfung der Regelungen im Hinblick auf den Zugang zu Gasspeicheranlagen zu ermöglichen, sowie die Netzzugangsbedingungen für Anlagen zur Erzeugung von Biogas und die Zahl der Biogas in das Erdgasnetz einspeisenden Anlagen, die eingespeiste Biogasmenge in Kilowattstunden und die nach § 20b der Gasnetzentgeltverordnung bundesweit umgelegten Kosten;</w:t>
      </w:r>
    </w:p>
    <w:p>
      <w:pPr>
        <w:ind w:left="420"/>
      </w:pPr>
      <w:r>
        <w:t xml:space="preserve">8. den Umfang, in dem die Betreiber von Übertragungs-, Fernleitungs- und Verteilernetzen ihren Aufgaben nach den §§ 11 bis 16a nachkommen;</w:t>
      </w:r>
    </w:p>
    <w:p>
      <w:pPr>
        <w:ind w:left="420"/>
      </w:pPr>
      <w:r>
        <w:t xml:space="preserve">9. die Erfüllung der Verpflichtungen nach § 42;</w:t>
      </w:r>
    </w:p>
    <w:p>
      <w:pPr>
        <w:ind w:left="420"/>
      </w:pPr>
      <w:r>
        <w:t xml:space="preserve">10. Preise für Haushaltskunden, einschließlich von Vorauszahlungssystemen, das Marktangebot von Verträgen nach § 41a sowie die Preisvolatilität bei Verträgen nach § 41a, Lieferanten- und Produktwechsel, Unterbrechung der Versorgung sowie Anzahl der vereinbarten Abwendungsvereinbarungen und der erfolgreich durchgeführten Abwendungsvereinbarungen nach § 41g Absatz 1, die Beziehungen zwischen Haushalts- und Großhandelspreisen, Beschwerden von Haushaltskunden, die Wirksamkeit und die Durchsetzung von Maßnahmen zum Verbraucherschutz im Bereich Elektrizität oder Gas, Wartungsdienste am Hausanschluss oder an Messeinrichtungen sowie die Dienstleistungsqualität der Netze;</w:t>
      </w:r>
    </w:p>
    <w:p>
      <w:pPr>
        <w:ind w:left="420"/>
      </w:pPr>
      <w:r>
        <w:t xml:space="preserve">11. den Bestand und die geplanten Stilllegungen von Erzeugungskapazitäten, die Möglichkeit und die vorhandenen Kapazitäten für einen Brennstoffwechsel zur Absicherung der Leistung der Erzeugungskapazitäten, die Investitionen in die Erzeugungskapazitäten mit Blick auf die Versorgungssicherheit sowie den Bestand, die bereitgestellte Leistung, die gelieferte Strommenge sowie den voraussichtlichen Zeitpunkt der Außerbetriebnahme von Speichern mit einer Nennleistung von mehr als 10 Megawatt je Standort;</w:t>
      </w:r>
    </w:p>
    <w:p>
      <w:pPr>
        <w:ind w:left="420"/>
      </w:pPr>
      <w:r>
        <w:t xml:space="preserve">12. den Grad der Transparenz, auch der Großhandelspreise, sowie den Grad und die Wirksamkeit der Marktöffnung und den Umfang des Wettbewerbs auf Großhandels- und Endkundenebene sowie an Elektrizitäts- und Erdgasbörsen, soweit diese Aufgabe nicht durch Gesetz einer anderen Stelle übertragen wurde;</w:t>
      </w:r>
    </w:p>
    <w:p>
      <w:pPr>
        <w:ind w:left="420"/>
      </w:pPr>
      <w:r>
        <w:t xml:space="preserve">13. die Entwicklung der Ausschreibungen abschaltbarer Lasten durch die Betreiber von Übertragungsnetzen nach § 13 Absatz 6 Satz 1;</w:t>
      </w:r>
    </w:p>
    <w:p>
      <w:pPr>
        <w:ind w:left="420"/>
      </w:pPr>
      <w:r>
        <w:t xml:space="preserve">14. den Bestand nicht öffentlich zugänglicher Ladepunkte;</w:t>
      </w:r>
    </w:p>
    <w:p>
      <w:pPr>
        <w:ind w:left="420"/>
      </w:pPr>
      <w:r>
        <w:t xml:space="preserve">15. die Fortschritte bei der Effizienzverbesserung beim Betrieb der Elektrizitäts- und Gasversorgungsnetze.</w:t>
      </w:r>
    </w:p>
    <w:p>
      <w:r>
        <w:t xml:space="preserve">(1a) Die Regulierungsbehörde kann für die Erstellung des Berichts nach § 63 Absatz 3a sowie zur Überwachung von Verpflichtungen nach § 13, insbesondere ob eine Abweichung nach § 13 Absatz 3 vorliegt, von den Betreibern von Erzeugungsanlagen und von Anlagen zur Speicherung elektrischer Energie ergänzende Informationen erheben, insbesondere</w:t>
      </w:r>
    </w:p>
    <w:p>
      <w:pPr>
        <w:ind w:left="420"/>
      </w:pPr>
      <w:r>
        <w:t xml:space="preserve">1. Betriebskenndaten der Anlagen sowie</w:t>
      </w:r>
    </w:p>
    <w:p>
      <w:pPr>
        <w:ind w:left="420"/>
      </w:pPr>
      <w:r>
        <w:t xml:space="preserve">2. Daten zur Bereitstellung von elektrischer Leistung auf Grund sonstiger Verdienstmöglichkeiten.</w:t>
      </w:r>
    </w:p>
    <w:p>
      <w:r>
        <w:t xml:space="preserve">(1b) Die Betreiber von Elektrizitätsversorgungsnetzen haben der Regulierungsbehörde zum Zweck des Monitorings nach Absatz 1 Nummer 14 Informationen zum Bestand nicht öffentlich zugänglicher sowie öffentlich zugänglicher Ladepunkte mitzuteilen. Die Regulierungsbehörde kann Vorgaben zu Art und Weise und Format der Mitteilung machen.</w:t>
      </w:r>
    </w:p>
    <w:p>
      <w:r>
        <w:t xml:space="preserve">(2) Zur Durchführung des Monitoring und zur Erhebung der ergänzenden Informationen gelten die Befugnisse nach § 69 entsprechend.</w:t>
      </w:r>
    </w:p>
    <w:p>
      <w:r>
        <w:rPr>
          <w:color w:val="555555"/>
          <w:sz w:val="17"/>
        </w:rPr>
        <w:t xml:space="preserve">Zitiervorschlag: § 35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