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EnWG 2005 — (aufgehoben)</w:t>
      </w:r>
    </w:p>
    <w:p>
      <w:r>
        <w:rPr>
          <w:color w:val="555555"/>
          <w:sz w:val="18"/>
        </w:rPr>
        <w:t xml:space="preserve">Energiewirtschaftsgesetz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34 EnWG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https://recht.nulegal.eu/gesetze/EnWG%202005/34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