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28k EnWG 2005 — Rechnungslegung und Buchführung</w:t>
      </w:r>
    </w:p>
    <w:p>
      <w:r>
        <w:rPr>
          <w:color w:val="555555"/>
          <w:sz w:val="18"/>
        </w:rPr>
        <w:t xml:space="preserve">Energiewirtschaftsgesetz</w:t>
      </w:r>
    </w:p>
    <w:p>
      <w:r>
        <w:rPr>
          <w:color w:val="555555"/>
          <w:sz w:val="18"/>
        </w:rPr>
        <w:t xml:space="preserve">Stand: 30.07.2021 (konsolidierte Textfassung, kein amtliches Inkrafttretensdatum)</w:t>
      </w:r>
    </w:p>
    <w:p>
      <w:r>
        <w:t xml:space="preserve">(1) Betreiber von Wasserstoffnetzen haben, auch wenn sie nicht in der Rechtsform einer Kapitalgesellschaft oder Personenhandelsgesellschaft im Sinne des § 264a Absatz 1 des Handelsgesetzbuchs betrieben werden, einen Jahresabschluss und Lagebericht nach den für Kapitalgesellschaften geltenden Vorschriften des Ersten, Dritten und Vierten Unterabschnitts des Zweiten Abschnitts des Dritten Buchs des Handelsgesetzbuchs aufzustellen, prüfen zu lassen und offenzulegen. § 264 Absatz 3 und § 264b des Handelsgesetzbuchs sind insoweit nicht anzuwenden. § 6b Absatz 1 Satz 2, Absatz 2, 6 und 7 ist entsprechend anzuwenden.</w:t>
      </w:r>
    </w:p>
    <w:p>
      <w:r>
        <w:t xml:space="preserve">(2) Betreiber von Wasserstoffnetzen, die neben dem Betrieb von Wasserstoffnetzen weitere Tätigkeiten ausüben, haben zur Vermeidung von Diskriminierung und Quersubventionierung in ihrer internen Rechnungslegung ein eigenes Konto für die Tätigkeit des Betriebs von Wasserstoffnetzen so zu führen, wie dies erforderlich wäre, wenn diese Tätigkeit von rechtlich selbständigen Unternehmen ausgeführt würde. Tätigkeit im Sinne dieser Bestimmung ist auch die wirtschaftliche Nutzung eines Eigentumsrechts. Mit der Aufstellung des Jahresabschlusses ist für den Betrieb von Wasserstoffnetzen ein den in Absatz 1 Satz 1 genannten Vorschriften entsprechender Tätigkeitsabschluss aufzustellen und dem Abschlussprüfer des Jahresabschlusses zur Prüfung vorzulegen. § 6b Absatz 3 bis 7 ist entsprechend anzuwenden.</w:t>
      </w:r>
    </w:p>
    <w:p>
      <w:r>
        <w:rPr>
          <w:color w:val="555555"/>
          <w:sz w:val="17"/>
        </w:rPr>
        <w:t xml:space="preserve">Zitiervorschlag: § 28k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https://recht.nulegal.eu/gesetze/EnWG%202005/28k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