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28c EnWG 2005 — Technische Vereinbarungen über den Betrieb von Gasverbindungsleitungen mit Drittstaaten</w:t>
      </w:r>
    </w:p>
    <w:p>
      <w:r>
        <w:rPr>
          <w:color w:val="555555"/>
          <w:sz w:val="18"/>
        </w:rPr>
        <w:t xml:space="preserve">Energiewirtschaftsgesetz</w:t>
      </w:r>
    </w:p>
    <w:p>
      <w:r>
        <w:rPr>
          <w:color w:val="555555"/>
          <w:sz w:val="18"/>
        </w:rPr>
        <w:t xml:space="preserve">Stand: 17.12.2019 (konsolidierte Textfassung, kein amtliches Inkrafttretensdatum)</w:t>
      </w:r>
    </w:p>
    <w:p>
      <w:r>
        <w:t xml:space="preserve">Betreiber von Fernleitungsnetzen können technische Vereinbarungen über den Betrieb von Fernleitungen mit Fernleitungsnetzbetreibern in Drittstaaten abschließen, sofern diese deutschem oder europäischem Recht nicht widersprechen. Bestehende und neu abgeschlossene Vereinbarungen sind der Regulierungsbehörde anzuzeigen.</w:t>
      </w:r>
    </w:p>
    <w:p>
      <w:r>
        <w:rPr>
          <w:color w:val="555555"/>
          <w:sz w:val="17"/>
        </w:rPr>
        <w:t xml:space="preserve">Zitiervorschlag: § 28c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