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EnWG 2005 — Neue Infrastrukturen</w:t>
      </w:r>
    </w:p>
    <w:p>
      <w:r>
        <w:rPr>
          <w:color w:val="555555"/>
          <w:sz w:val="18"/>
        </w:rPr>
        <w:t xml:space="preserve">Energiewirtschaftsgesetz</w:t>
      </w:r>
    </w:p>
    <w:p>
      <w:r>
        <w:rPr>
          <w:color w:val="555555"/>
          <w:sz w:val="18"/>
        </w:rPr>
        <w:t xml:space="preserve">Stand: 30.07.2021 (konsolidierte Textfassung, kein amtliches Inkrafttretensdatum)</w:t>
      </w:r>
    </w:p>
    <w:p>
      <w:r>
        <w:t xml:space="preserve">(1) Verbindungsleitungen zwischen Deutschland und anderen Staaten oder LNG- und Gasspeicheranlagen können von der Anwendung der §§ 8 bis 10e sowie §§ 20 bis 28 befristet ausgenommen werden, wenn</w:t>
      </w:r>
    </w:p>
    <w:p>
      <w:pPr>
        <w:ind w:left="420"/>
      </w:pPr>
      <w:r>
        <w:t xml:space="preserve">1. durch die Investition der Wettbewerb bei der Gasversorgung und die Versorgungssicherheit verbessert werden,</w:t>
      </w:r>
    </w:p>
    <w:p>
      <w:pPr>
        <w:ind w:left="420"/>
      </w:pPr>
      <w:r>
        <w:t xml:space="preserve">2. es sich um größere neue Infrastrukturanlagen im Sinne des Artikel 36 Absatz 1 der Richtlinie 2009/73/EG handelt, bei denen insbesondere das mit der Investition verbundene Risiko so hoch ist, dass die Investition ohne eine Ausnahmegenehmigung nicht getätigt würde,</w:t>
      </w:r>
    </w:p>
    <w:p>
      <w:pPr>
        <w:ind w:left="420"/>
      </w:pPr>
      <w:r>
        <w:t xml:space="preserve">3. die Infrastruktur Eigentum einer natürlichen oder juristischen Person ist, die entsprechend der §§ 8 bis 10e von den Netzbetreibern getrennt ist, in deren Netzen die Infrastruktur geschaffen wird,</w:t>
      </w:r>
    </w:p>
    <w:p>
      <w:pPr>
        <w:ind w:left="420"/>
      </w:pPr>
      <w:r>
        <w:t xml:space="preserve">4. von den Nutzern dieser Infrastruktur Entgelte erhoben werden und</w:t>
      </w:r>
    </w:p>
    <w:p>
      <w:pPr>
        <w:ind w:left="420"/>
      </w:pPr>
      <w:r>
        <w:t xml:space="preserve">5. die Ausnahme sich nicht nachteilig auf den Wettbewerb auf den jeweiligen Märkten, die wahrscheinlich von der Investition betroffen sein werden, auf das effiziente Funktionieren des Erdgasbinnenmarktes, auf das effiziente Funktionieren der betroffenen regulierten Netze oder auf die Erdgasversorgungssicherheit der Europäischen Union auswirkt.</w:t>
      </w:r>
    </w:p>
    <w:p>
      <w:r>
        <w:t xml:space="preserve">(2) Absatz 1 gilt auch für Kapazitätsaufstockungen bei vorhandenen Infrastrukturen, die insbesondere hinsichtlich ihres Investitionsvolumens und des zusätzlichen Kapazitätsvolumens bei objektiver Betrachtung wesentlich sind, und für Änderungen dieser Infrastrukturen, die die Erschließung neuer Gasversorgungsquellen ermöglichen.</w:t>
      </w:r>
    </w:p>
    <w:p>
      <w:r>
        <w:t xml:space="preserve">(3) Auf Antrag des betroffenen Gasversorgungsunternehmens entscheidet die Regulierungsbehörde, ob die vom Antragsteller nachzuweisenden Voraussetzungen nach Absatz 1 oder 2 vorliegen. Die Prüfung und das Verfahren richten sich nach Artikel 36 Absatz 3 bis 9 der Richtlinie 2009/73/EG. Die Regulierungsbehörde hat eine Entscheidung über einen Antrag nach Satz 1 nach Maßgabe einer endgültigen Entscheidung der Kommission nach Artikel 36 Absatz 9 der Richtlinie 2009/73/EG zu ändern oder aufzuheben; die §§ 48 und 49 des Verwaltungsverfahrensgesetzes bleiben unberührt.</w:t>
      </w:r>
    </w:p>
    <w:p>
      <w:r>
        <w:t xml:space="preserve">(4) Die Entscheidungen werden von der Regulierungsbehörde auf ihrer Internetseite veröffentlicht.</w:t>
      </w:r>
    </w:p>
    <w:p>
      <w:r>
        <w:rPr>
          <w:color w:val="555555"/>
          <w:sz w:val="17"/>
        </w:rPr>
        <w:t xml:space="preserve">Zitiervorschlag: § 28a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