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EnWG 2005 — Zugang zu LNG-Anlagen, vorgelagerten Rohrleitungsnetzen und Gasspeicheranlagen im Bereich der leitungsgebundenen Versorgung mit Erdgas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24.05.2022 (konsolidierte Textfassung, kein amtliches Inkrafttretensdatum)</w:t>
      </w:r>
    </w:p>
    <w:p>
      <w:r>
        <w:t xml:space="preserve">(1) Soweit es zur Berücksichtigung von Besonderheiten von LNG-Anlagen erforderlich ist, kann die Bundesnetzagentur durch Festlegung oder Genehmigung nach § 29 Absatz 1 Regelungen für den Zugang zu LNG-Anlagen treffen. Diese Regelungen können zum Gegenstand haben:</w:t>
      </w:r>
    </w:p>
    <w:p>
      <w:pPr>
        <w:ind w:left="420"/>
      </w:pPr>
      <w:r>
        <w:t xml:space="preserve">1. die Rechte und Pflichten eines Betreibers von LNG-Anlagen,</w:t>
      </w:r>
    </w:p>
    <w:p>
      <w:pPr>
        <w:ind w:left="420"/>
      </w:pPr>
      <w:r>
        <w:t xml:space="preserve">2. die Bedingungen, unter denen der Betreiber der LNG-Anlage Zugang zur LNG-Anlage gewähren muss,</w:t>
      </w:r>
    </w:p>
    <w:p>
      <w:pPr>
        <w:ind w:left="420"/>
      </w:pPr>
      <w:r>
        <w:t xml:space="preserve">3. die nähere Ausgestaltung der Ermittlung der Kosten und Entgelte des Anlagenbetriebs sowie</w:t>
      </w:r>
    </w:p>
    <w:p>
      <w:pPr>
        <w:ind w:left="420"/>
      </w:pPr>
      <w:r>
        <w:t xml:space="preserve">4. die Anwendbarkeit der Anreizregulierung nach § 21a.</w:t>
      </w:r>
    </w:p>
    <w:p>
      <w:r>
        <w:t xml:space="preserve">Die Regelungen und Entscheidungen können von Rechtsverordnungen nach § 24 abweichen oder diese ergänzen.</w:t>
      </w:r>
    </w:p>
    <w:p>
      <w:r>
        <w:t xml:space="preserve">(2) Der Zugang zu den vorgelagerten Rohrleitungsnetzen und zu Gasspeicheranlagen erfolgt abweichend von den §§ 20 bis 24 auf vertraglicher Grundlage nach Maßgabe der §§ 27 und 28.</w:t>
      </w:r>
    </w:p>
    <w:p>
      <w:r>
        <w:rPr>
          <w:color w:val="555555"/>
          <w:sz w:val="17"/>
        </w:rPr>
        <w:t xml:space="preserve">Zitiervorschlag: § 26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