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24a EnWG 2005 — Bundeszuschüsse; Festlegungskompetenz</w:t>
      </w:r>
    </w:p>
    <w:p>
      <w:r>
        <w:rPr>
          <w:color w:val="555555"/>
          <w:sz w:val="18"/>
        </w:rPr>
        <w:t xml:space="preserve">Energiewirtschaftsgesetz</w:t>
      </w:r>
    </w:p>
    <w:p>
      <w:r>
        <w:rPr>
          <w:color w:val="555555"/>
          <w:sz w:val="18"/>
        </w:rPr>
        <w:t xml:space="preserve">Stand: 24.12.2025 (konsolidierte Textfassung, kein amtliches Inkrafttretensdatum)</w:t>
      </w:r>
    </w:p>
    <w:p>
      <w:r>
        <w:t xml:space="preserve">Die Übertragungsnetzbetreiber mit Regelzonenverantwortung haben bei der Ermittlung der bundeseinheitlichen Übertragungsnetzentgelte für ein nachfolgendes Kalenderjahr rechnerisch einen Bundeszuschuss von dem Gesamtbetrag der in die Ermittlung der bundeseinheitlichen Übertragungsnetzentgelte einfließenden Erlösobergrenzen abzuziehen, sofern</w:t>
      </w:r>
    </w:p>
    <w:p>
      <w:pPr>
        <w:ind w:left="420"/>
      </w:pPr>
      <w:r>
        <w:t xml:space="preserve">1. das Haushaltsgesetz für das laufende Kalenderjahr eine Verpflichtungsermächtigung zum Zweck der Absenkung der Übertragungsnetzentgelte im nachfolgenden Kalenderjahr enthält oder</w:t>
      </w:r>
    </w:p>
    <w:p>
      <w:pPr>
        <w:ind w:left="420"/>
      </w:pPr>
      <w:r>
        <w:t xml:space="preserve">2. das Haushaltsgesetz für das nachfolgende Kalenderjahr Haushaltsansätze zur Absenkung der Übertragungsnetzentgelte enthält.</w:t>
      </w:r>
    </w:p>
    <w:p>
      <w:r>
        <w:t xml:space="preserve">Sofern im Haushaltsgesetz des Kalenderjahres, das dem Kalenderjahr vorangeht, in dem der Bundeszuschuss erfolgen soll, eine Verpflichtungsermächtigung zum Zweck der Absenkung der Übertragungsnetzentgelte veranschlagt wurde, richtet sich die Höhe des Zuschusses nach dem Betrag, der von der Bundesrepublik Deutschland in einem Bescheid an die Übertragungsnetzbetreiber mit Regelzonenverantwortung festgesetzt worden ist, wenn der Bescheid den Übertragungsnetzbetreibern mit Regelzonenverantwortung spätestens am 30. September des Kalenderjahres, das dem Kalenderjahr vorangeht, in dem der Zuschuss erfolgen soll, bekannt gegeben wird; dabei besteht keine Pflicht zum Erlass eines Bescheides. Die Aufteilung der Zahlungen zur Absenkung der Übertragungsnetzentgelte auf die Übertragungsnetzbetreiber mit Regelzonenverantwortung erfolgt entsprechend dem jeweiligen Anteil ihrer Erlösobergrenze an der Summe der Erlösobergrenzen aller Übertragungsnetzbetreiber mit Regelzonenverantwortung. Zwischen den Übertragungsnetzbetreibern mit Regelzonenverantwortung und der Bundesrepublik Deutschland, vertreten durch das Bundesministerium für Wirtschaft und Energie, wird vor der Bereitstellung eines Bundeszuschusses zum Zweck der Absenkung der Übertragungsnetzentgelte im Einvernehmen mit dem Bundesministerium der Finanzen ein öffentlich-rechtlicher Vertrag abgeschlossen. Die Bundesnetzagentur ist berechtigt, durch Festlegung nach § 29 Absatz 1 nähere Vorgaben zur Berücksichtigung des Bundeszuschusses bei der Ermittlung der bundeseinheitlichen Übertragungsnetzentgelte zu machen.</w:t>
      </w:r>
    </w:p>
    <w:p>
      <w:r>
        <w:rPr>
          <w:color w:val="555555"/>
          <w:sz w:val="17"/>
        </w:rPr>
        <w:t xml:space="preserve">Zitiervorschlag: § 24a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https://recht.nulegal.eu/gesetze/EnWG%202005/24a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