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23b EnWG 2005 — Veröffentlichungen der Regulierungsbehörde; Festlegungskompetenz</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Regulierungsbehörde veröffentlicht auf ihrer Internetseite, einschließlich etwaiger darin enthaltener Betriebs- und Geschäftsgeheimnisse, unternehmensbezogen in nicht anonymisierter, frei zugänglicher Form:</w:t>
      </w:r>
    </w:p>
    <w:p>
      <w:pPr>
        <w:ind w:left="420"/>
      </w:pPr>
      <w:r>
        <w:t xml:space="preserve">1. die durch die Regulierungsbehörde für eine Regulierungsperiode vorgegebenen kalenderjährlichen Erlösobergrenzen und, sofern abweichend, die zur Entgeltbildung vom Netzbetreiber herangezogene angepasste kalenderjährliche Erlösobergrenze jeweils als Summenwert,</w:t>
      </w:r>
    </w:p>
    <w:p>
      <w:pPr>
        <w:ind w:left="420"/>
      </w:pPr>
      <w:r>
        <w:t xml:space="preserve">2. den jährlichen Aufschlag auf die Erlösobergrenze für Kapitalkosten, die im Laufe einer Regulierungsperiode aufgrund von nach dem hierfür relevanten Bezugsjahr, insbesondere einem Basisjahr, getätigten Investitionen in den Bestand betriebsnotwendiger Anlagegüter entstehen, als Summenwert und den jährlichen Abzug von der Erlösobergrenze für Kapitalkosten, die im Laufe einer Regulierungsperiode nicht fortgeführt werden, als Summenwert,</w:t>
      </w:r>
    </w:p>
    <w:p>
      <w:pPr>
        <w:ind w:left="420"/>
      </w:pPr>
      <w:r>
        <w:t xml:space="preserve">3. die in der vorgegebenen kalenderjährlichen Erlösobergrenze enthaltenen anpassbaren Kostenanteile, insbesondere nicht dem Effizienzvergleich unterliegende oder volatile Kostenanteile sowie jeweils deren jährliche Anpassung durch den Netzbetreiber als Summenwert,</w:t>
      </w:r>
    </w:p>
    <w:p>
      <w:pPr>
        <w:ind w:left="420"/>
      </w:pPr>
      <w:r>
        <w:t xml:space="preserve">4. die zu berücksichtigenden jährlichen beeinflussbaren und vorübergehend nicht beeinflussbaren Kostenanteile als Summenwert,</w:t>
      </w:r>
    </w:p>
    <w:p>
      <w:pPr>
        <w:ind w:left="420"/>
      </w:pPr>
      <w:r>
        <w:t xml:space="preserve">5. die in der vorgegebenen kalenderjährlichen Erlösobergrenze enthaltenen Kosten aufgrund von Forschungs- und Entwicklungsvorhaben im Rahmen der staatlichen Energieforschungsförderung sowie deren jährliche Anpassung durch den Netzbetreiber als Summenwert,</w:t>
      </w:r>
    </w:p>
    <w:p>
      <w:pPr>
        <w:ind w:left="420"/>
      </w:pPr>
      <w:r>
        <w:t xml:space="preserve">6. die Werte der zu berücksichtigenden Mengeneffekte,</w:t>
      </w:r>
    </w:p>
    <w:p>
      <w:pPr>
        <w:ind w:left="420"/>
      </w:pPr>
      <w:r>
        <w:t xml:space="preserve">7. die ermittelten unternehmensindividuellen Effizienzvorgaben, insbesondere Effizienzwerte sowie die hierbei erhobenen, geprüften und verwendeten Parameter zur Abbildung struktureller Unterschiede und die Aufwandsparameter,</w:t>
      </w:r>
    </w:p>
    <w:p>
      <w:pPr>
        <w:ind w:left="420"/>
      </w:pPr>
      <w:r>
        <w:t xml:space="preserve">8. das ermittelte Ausgangsniveau oder die Kostenbasis sowie deren Aufteilung in operative und Kapitalkosten, die bei der Ermittlung der kalkulatorischen Eigenkapitalverzinsung eingeflossenen Bilanzpositionen sowie die bei der Ermittlung der kalkulatorischen Gewerbesteuer verwendete Messzahl sowie den Hebesatz; dabei ist Gleiches anzuwenden für die in das Ausgangsniveau oder die Kostenbasis eingeflossenen Kosten oder Kostenbestandteile, die aufgrund einer Überlassung betriebsnotwendiger Anlagegüter durch Dritte anfallen,</w:t>
      </w:r>
    </w:p>
    <w:p>
      <w:pPr>
        <w:ind w:left="420"/>
      </w:pPr>
      <w:r>
        <w:t xml:space="preserve">9. jährliche tatsächliche Kosten der genehmigten Investitionsmaßnahmen für die Erweiterung und Umstrukturierung in die Transportnetze jeweils als Summenwert,</w:t>
      </w:r>
    </w:p>
    <w:p>
      <w:pPr>
        <w:ind w:left="420"/>
      </w:pPr>
      <w:r>
        <w:t xml:space="preserve">10. die erhobenen, geprüften sowie verwendeten Daten zur Versorgungsqualität sowie die darauf ermittelten Kennzahlen, die ermittelten Kennzahlenvorgaben und die Abweichungen der Netzbetreiber von diesen Kennzahlenvorgaben wie auch die darauf resultierenden Zu- oder Abschläge auf die Erlösobergrenzen,</w:t>
      </w:r>
    </w:p>
    <w:p>
      <w:pPr>
        <w:ind w:left="420"/>
      </w:pPr>
      <w:r>
        <w:t xml:space="preserve">11. Summe der Kosten für das Engpassmanagement, einschließlich der Summe der saldierten geleisteten und erhaltenen Zahlungen für den finanziellen Ausgleich nach § 13a Absatz 2 und 5 Satz 3 sowie für den finanziellen Ersatz nach § 14 Absatz 1c Satz 2,</w:t>
      </w:r>
    </w:p>
    <w:p>
      <w:pPr>
        <w:ind w:left="420"/>
      </w:pPr>
      <w:r>
        <w:t xml:space="preserve">12. die jährliche Entwicklung der Summe der Kosten für die folgenden Systemdienstleistungen der Übertragungsnetzbetreiber,</w:t>
      </w:r>
    </w:p>
    <w:p>
      <w:pPr>
        <w:ind w:left="780"/>
      </w:pPr>
      <w:r>
        <w:t xml:space="preserve">a) für Kraftwerksreserven der Transportnetzbetreiber Strom nach den §§ 13b, 13d, 13e, 13g und 50 des Kohleverstromungsbeendigungsgesetzes vom 8. August 2020 (BGBl. I S. 1818), das zuletzt durch Artikel 14 des Gesetzes vom 22. Dezember 2023 (BGBl. 2023 I Nr. 405) geändert worden ist, sowie</w:t>
      </w:r>
    </w:p>
    <w:p>
      <w:pPr>
        <w:ind w:left="780"/>
      </w:pPr>
      <w:r>
        <w:t xml:space="preserve">b) für die gesicherte Versorgung von Kraftwerken mit Gas außerhalb der Netzreserve nach § 13f,</w:t>
      </w:r>
    </w:p>
    <w:p>
      <w:pPr>
        <w:ind w:left="420"/>
      </w:pPr>
      <w:r>
        <w:t xml:space="preserve">13. die Daten, die bei der Ermittlung des generellen sektoralen Produktivitätsfaktors Verwendung finden,</w:t>
      </w:r>
    </w:p>
    <w:p>
      <w:pPr>
        <w:ind w:left="420"/>
      </w:pPr>
      <w:r>
        <w:t xml:space="preserve">14. die in der Entscheidung nach § 23 der Anreizregulierungsverordnung genannten Daten, ausgenommen Betriebs- und Geschäftsgeheimnisse Dritter,</w:t>
      </w:r>
    </w:p>
    <w:p>
      <w:pPr>
        <w:ind w:left="420"/>
      </w:pPr>
      <w:r>
        <w:t xml:space="preserve">15. Kosten für die erforderliche Inanspruchnahme vorgelagerter Netzebenen als Summenwert und</w:t>
      </w:r>
    </w:p>
    <w:p>
      <w:pPr>
        <w:ind w:left="420"/>
      </w:pPr>
      <w:r>
        <w:t xml:space="preserve">16. Kosten für die an Betreiber einer dezentralen Erzeugungsanlage und an vorgelagerte Netzbetreiber aufgrund von dezentraler Einspeisung gezahlten vermiedenen Netzentgelte als Summenwert,</w:t>
      </w:r>
    </w:p>
    <w:p>
      <w:pPr>
        <w:ind w:left="420"/>
      </w:pPr>
      <w:r>
        <w:t xml:space="preserve">17. Summe der Kosten, die dem Anschlussnetzbetreiber nach § 7 Absatz 2 sowie nach § 36 Absatz 2 des Messstellenbetriebsgesetzes aus Entgelten zur Ausstattung von Zählpunkten einer Messstelle mit intelligenten Messsystemen und des Netzanschlusspunktes einer Messstelle mit einer Steuerungseinrichtung entstehen.</w:t>
      </w:r>
    </w:p>
    <w:p>
      <w:r>
        <w:t xml:space="preserve">Von einer Veröffentlichung der Daten nach Satz 1 Nummer 7, 8 und 12 ist abzusehen, wenn durch die Veröffentlichung Rückschlüsse auf Kosten oder Preise Dritter möglich sind.</w:t>
      </w:r>
    </w:p>
    <w:p>
      <w:r>
        <w:t xml:space="preserve">(2) Sonstige Befugnisse der Regulierungsbehörde, Informationen und Daten zu veröffentlichen sowie im Einzelfall oder durch Festlegung nach § 29 Absatz 1 die Veröffentlichung von Informationen und Daten anzuordnen, bleiben unberührt.</w:t>
      </w:r>
    </w:p>
    <w:p>
      <w:r>
        <w:t xml:space="preserve">(3) Die Regulierungsbehörde kann die Betreiber von Energieversorgungsnetzen durch Festlegungen nach § 29 Absatz 1 verpflichten, die Daten nach Absatz 1 an sie zu übermitteln sowie Vorgaben zu Umfang, Zeitpunkt und Form der mitzuteilenden Daten, insbesondere zu den zulässigen Datenformaten, Datenträgern und Übertragungswegen treffen.</w:t>
      </w:r>
    </w:p>
    <w:p>
      <w:r>
        <w:rPr>
          <w:color w:val="555555"/>
          <w:sz w:val="17"/>
        </w:rPr>
        <w:t xml:space="preserve">Zitiervorschlag: § 23b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