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21b EnWG 2005 — Sondervorschriften für regulatorische Ansprüche und Verpflichtungen der Transportnetzbetreiber; Festlegungskompetenz</w:t>
      </w:r>
    </w:p>
    <w:p>
      <w:r>
        <w:rPr>
          <w:color w:val="555555"/>
          <w:sz w:val="18"/>
        </w:rPr>
        <w:t xml:space="preserve">Energiewirtschaftsgesetz</w:t>
      </w:r>
    </w:p>
    <w:p>
      <w:r>
        <w:rPr>
          <w:color w:val="555555"/>
          <w:sz w:val="18"/>
        </w:rPr>
        <w:t xml:space="preserve">Stand: 30.07.2022 (konsolidierte Textfassung, kein amtliches Inkrafttretensdatum)</w:t>
      </w:r>
    </w:p>
    <w:p>
      <w:r>
        <w:t xml:space="preserve">(1) Bei Betreibern von Transportnetzen gilt im Rahmen des Anreizregulierungssystems der regulatorische Anspruch, der sich aus einer negativen Differenz auf dem Regulierungskonto zwischen den tatsächlich erzielbaren Erlösen und den geplanten Kosten eines Kalenderjahres einerseits sowie den zulässigen Erlösen und den tatsächlich entstandenen Kosten eines Kalenderjahres andererseits ergibt, als Vermögensgegenstand im Sinne von § 246 Absatz 1 Satz 1 des Handelsgesetzbuchs. Der Betrag eines regulatorischen Anspruchs nach Satz 1 ist bei Transportnetzbetreibern, die nicht die Einstufung als klein im Sinne von § 267 des Handelsgesetzbuchs erfüllen, in der Bilanz unter dem Posten „sonstige Vermögensgegenstände“ gesondert auszuweisen und im Anhang des Jahresabschlusses zu erläutern. Bei Transportnetzbetreibern, die einen Konzernabschluss nach den Vorschriften des Dritten Buchs Zweiter Abschnitt Zweiter Unterabschnitt Zweiter bis Achter Titel des Handelsgesetzbuchs aufstellen, ist Satz 2 auf die Konzernbilanz und den Konzernanhang entsprechend anzuwenden.</w:t>
      </w:r>
    </w:p>
    <w:p>
      <w:r>
        <w:t xml:space="preserve">(2) Betreiber von Transportnetzen haben im Fall der dauerhaften Einstellung ihres Geschäftsbetriebs die regulatorischen Ansprüche und Verpflichtungen im Rahmen des Anreizregulierungssystems, die sich aus Differenzen zwischen den tatsächlich erzielbaren Erlösen und den geplanten Kosten eines Kalenderjahres einerseits sowie den zulässigen Erlösen und den tatsächlich entstandenen Kosten eines Kalenderjahres andererseits ergeben, über die Erlösobergrenze des Jahres der dauerhaften Einstellung des Geschäftsbetriebs an die Kunden dieses Jahres abzurechnen. Die Bundesnetzagentur trifft durch Festlegung nach § 29 Absatz 1 nähere Bestimmungen zur Abrechnung nach Satz 1.</w:t>
      </w:r>
    </w:p>
    <w:p>
      <w:r>
        <w:rPr>
          <w:color w:val="555555"/>
          <w:sz w:val="17"/>
        </w:rPr>
        <w:t xml:space="preserve">Zitiervorschlag: § 21b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