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20a EnWG 2005 — Lieferantenwechsel</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Bei einem Lieferantenwechsel hat der neue Lieferant dem Letztverbraucher unverzüglich in Textform zu bestätigen, ob und zu welchem Termin er eine vom Letztverbraucher gewünschte Belieferung aufnehmen kann.</w:t>
      </w:r>
    </w:p>
    <w:p>
      <w:r>
        <w:t xml:space="preserve">(2) Das Verfahren für den Wechsel des Lieferanten oder des Aggregators darf drei Wochen, gerechnet ab dem Zeitpunkt des Zugangs der Anmeldung zur Netznutzung durch den neuen Lieferanten bei dem Netzbetreiber, an dessen Netz die Entnahmestelle angeschlossen ist, nicht überschreiten. Der Netzbetreiber ist verpflichtet, den Zeitpunkt des Zugangs zu dokumentieren. Eine von Satz 1 abweichende längere Verfahrensdauer ist nur zulässig, soweit die Anmeldung zur Netznutzung sich auf einen weiter in der Zukunft liegenden Liefertermin bezieht. Ab dem 1. Januar 2026 muss der technische Vorgang des Energielieferantenwechsels binnen 24 Stunden vollzogen und an jedem Werktag möglich sein.</w:t>
      </w:r>
    </w:p>
    <w:p>
      <w:r>
        <w:t xml:space="preserve">(3) Der Lieferantenwechsel oder der Wechsel des Aggregators darf für den Letztverbraucher mit keinen zusätzlichen Kosten verbunden sein. Satz 1 ist auch anzuwenden, wenn die Energielieferung Bestandteil gebündelter Angebote im Sinne des § 41 Absatz 1 Satz 1 Nummer 4 ist.</w:t>
      </w:r>
    </w:p>
    <w:p>
      <w:r>
        <w:t xml:space="preserve">(4) Erfolgt der Lieferantenwechsel nicht innerhalb der in Absatz 2 vorgesehenen Frist, so kann der Letztverbraucher von dem Lieferanten oder dem Netzbetreiber, der die Verzögerung zu vertreten hat, Schadensersatz nach den §§ 249 ff. des Bürgerlichen Gesetzbuchs verlangen. Der Lieferant oder der Netzbetreiber trägt die Beweislast, dass er die Verzögerung nicht zu vertreten hat. Nimmt der bisherige Lieferant die Abmeldung von der Belieferung nicht unverzüglich nach Vertragsbeendigung vor oder gibt er auf Nachfrage des Netzbetreibers die Entnahmestelle bei Vertragsbeendigung nicht frei, kann der Letztverbraucher vom Energielieferanten Schadensersatz nach Maßgabe des Satzes 1 verlangen.</w:t>
      </w:r>
    </w:p>
    <w:p>
      <w:r>
        <w:rPr>
          <w:color w:val="555555"/>
          <w:sz w:val="17"/>
        </w:rPr>
        <w:t xml:space="preserve">Zitiervorschlag: § 20a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