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17g EnWG 2005 — Haftung für Sachschäden an Windenergieanlagen auf See</w:t>
      </w:r>
    </w:p>
    <w:p>
      <w:r>
        <w:rPr>
          <w:color w:val="555555"/>
          <w:sz w:val="18"/>
        </w:rPr>
        <w:t xml:space="preserve">Energiewirtschaftsgesetz</w:t>
      </w:r>
    </w:p>
    <w:p>
      <w:r>
        <w:rPr>
          <w:color w:val="555555"/>
          <w:sz w:val="18"/>
        </w:rPr>
        <w:t xml:space="preserve">Stand: 10.06.2019 (konsolidierte Textfassung, kein amtliches Inkrafttretensdatum)</w:t>
      </w:r>
    </w:p>
    <w:p>
      <w:r>
        <w:t xml:space="preserve">Die Haftung des anbindungsverpflichteten Übertragungsnetzbetreibers gegenüber Betreibern von Windenergieanlagen auf See für nicht vorsätzlich verursachte Sachschäden ist je Schadensereignis insgesamt begrenzt auf 100 Millionen Euro. Übersteigt die Summe der Einzelschäden bei einem Schadensereignis die Höchstgrenze nach Satz 1, so wird der Schadensersatz in dem Verhältnis gekürzt, in dem die Summe aller Schadensersatzansprüche zur Höchstgrenze steht.</w:t>
      </w:r>
    </w:p>
    <w:p>
      <w:r>
        <w:rPr>
          <w:color w:val="555555"/>
          <w:sz w:val="17"/>
        </w:rPr>
        <w:t xml:space="preserve">Zitiervorschlag: § 17g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https://recht.nulegal.eu/gesetze/EnWG%202005/17g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