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17f EnWG 2005 — Belastungsausgleich</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Soweit sich aus den nachfolgenden Absätzen oder einer Rechtsverordnung nichts anderes ergibt, werden den Übertragungsnetzbetreibern nach den Vorgaben des Energiefinanzierungsgesetzes die Kosten erstattet</w:t>
      </w:r>
    </w:p>
    <w:p>
      <w:pPr>
        <w:ind w:left="420"/>
      </w:pPr>
      <w:r>
        <w:t xml:space="preserve">1. für Entschädigungszahlungen nach § 17e,</w:t>
      </w:r>
    </w:p>
    <w:p>
      <w:pPr>
        <w:ind w:left="420"/>
      </w:pPr>
      <w:r>
        <w:t xml:space="preserve">2. für Maßnahmen aus einem der Bundesnetzagentur vorgelegten Schadensminderungskonzept nach Absatz 3 Satz 2 und 3,</w:t>
      </w:r>
    </w:p>
    <w:p>
      <w:pPr>
        <w:ind w:left="420"/>
      </w:pPr>
      <w:r>
        <w:t xml:space="preserve">3. nach § 17d Absatz 1 und 6,</w:t>
      </w:r>
    </w:p>
    <w:p>
      <w:pPr>
        <w:ind w:left="420"/>
      </w:pPr>
      <w:r>
        <w:t xml:space="preserve">4. nach den §§ 17a und 17b in der bis zum Ablauf des 28. Dezember 2023 geltenden Fassung,</w:t>
      </w:r>
    </w:p>
    <w:p>
      <w:pPr>
        <w:ind w:left="420"/>
      </w:pPr>
      <w:r>
        <w:t xml:space="preserve">5. nach § 12b Absatz 1 Satz 4 Nummer 6,</w:t>
      </w:r>
    </w:p>
    <w:p>
      <w:pPr>
        <w:ind w:left="420"/>
      </w:pPr>
      <w:r>
        <w:t xml:space="preserve">6. für den Flächenentwicklungsplan nach § 5 des Windenergie-auf-See-Gesetzes und</w:t>
      </w:r>
    </w:p>
    <w:p>
      <w:pPr>
        <w:ind w:left="420"/>
      </w:pPr>
      <w:r>
        <w:t xml:space="preserve">7. für Entschädigungszahlungen bei Störungen oder Verzögerungen der Einrichtung internationaler Offshore-Anbindungsleitungen nach Maßgabe des § 17k.</w:t>
      </w:r>
    </w:p>
    <w:p>
      <w:r>
        <w:t xml:space="preserve">Zu den nach Satz 1 Nummer 1 erstattungsfähigen Kosten zählen auch die Kosten für eine Zwischenfinanzierung der Entschädigungszahlungen. Von den nach Satz 1 Nummer 1 erstattungsfähigen Kosten sind anlässlich des Schadensereignisses nach § 17e erhaltene Vertragsstrafen, Versicherungsleistungen oder sonstige Leistungen Dritter abzuziehen.</w:t>
      </w:r>
    </w:p>
    <w:p>
      <w:r>
        <w:t xml:space="preserve">(2) Soweit der anbindungsverpflichtete Übertragungsnetzbetreiber die Störung der Netzanbindung im Sinn von § 17e Absatz 1 oder die nicht rechtzeitige Fertigstellung der Anbindungsleistung im Sinn von § 17e Absatz 2 verursacht hat, werden die Kosten nach Absatz 1 Satz 1 nach den Vorgaben des Energiefinanzierungsgesetzes im Fall einer</w:t>
      </w:r>
    </w:p>
    <w:p>
      <w:pPr>
        <w:ind w:left="420"/>
      </w:pPr>
      <w:r>
        <w:t xml:space="preserve">1. vorsätzlichen Verursachung nicht erstattet,</w:t>
      </w:r>
    </w:p>
    <w:p>
      <w:pPr>
        <w:ind w:left="420"/>
      </w:pPr>
      <w:r>
        <w:t xml:space="preserve">2. fahrlässigen Verursachung nach Abzug eines Eigenanteils erstattet.</w:t>
      </w:r>
    </w:p>
    <w:p>
      <w:r>
        <w:t xml:space="preserve">Der Eigenanteil nach Satz 1 Nummer 2 darf bei der Ermittlung der Netzentgelte nicht berücksichtigt werden. Er beträgt pro Kalenderjahr</w:t>
      </w:r>
    </w:p>
    <w:p>
      <w:pPr>
        <w:ind w:left="420"/>
      </w:pPr>
      <w:r>
        <w:t xml:space="preserve">1. 20 Prozent für Kosten bis zu einer Höhe von 200 Millionen Euro,</w:t>
      </w:r>
    </w:p>
    <w:p>
      <w:pPr>
        <w:ind w:left="420"/>
      </w:pPr>
      <w:r>
        <w:t xml:space="preserve">2. 15 Prozent für Kosten, die 200 Millionen übersteigen, bis zu einer Höhe von 400 Millionen Euro,</w:t>
      </w:r>
    </w:p>
    <w:p>
      <w:pPr>
        <w:ind w:left="420"/>
      </w:pPr>
      <w:r>
        <w:t xml:space="preserve">3. 10 Prozent für Kosten, die 400 Millionen übersteigen, bis zu einer Höhe von 600 Millionen Euro,</w:t>
      </w:r>
    </w:p>
    <w:p>
      <w:pPr>
        <w:ind w:left="420"/>
      </w:pPr>
      <w:r>
        <w:t xml:space="preserve">4. 5 Prozent für Kosten, die 600 Millionen übersteigen, bis zu einer Höhe von 1 000 Millionen Euro.</w:t>
      </w:r>
    </w:p>
    <w:p>
      <w:r>
        <w:t xml:space="preserve">Bei fahrlässig, jedoch nicht grob fahrlässig verursachten Schäden ist der Eigenanteil des anbindungsverpflichteten Übertragungsnetzbetreibers nach Satz 2 auf 17,5 Millionen Euro je Schadensereignis begrenzt. Soweit der Betreiber einer Windenergieanlage auf See einen Schaden auf Grund der nicht rechtzeitigen Herstellung oder der Störung der Netzanbindung erleidet, wird vermutet, dass zumindest grobe Fahrlässigkeit des anbindungsverpflichteten Übertragungsnetzbetreibers vorliegt.</w:t>
      </w:r>
    </w:p>
    <w:p>
      <w:r>
        <w:t xml:space="preserve">(3) Der anbindungsverpflichtete Übertragungsnetzbetreiber hat alle möglichen und zumutbaren Maßnahmen zu ergreifen, um einen Schadenseintritt zu verhindern, den eingetretenen Schaden unverzüglich zu beseitigen und weitere Schäden abzuwenden oder zu mindern. Der anbindungsverpflichtete Übertragungsnetzbetreiber hat bei Schadenseintritt unverzüglich der Bundesnetzagentur ein Konzept mit den geplanten Schadensminderungsmaßnahmen nach Satz 1 vorzulegen und dieses bis zur vollständigen Beseitigung des eingetretenen Schadens regelmäßig zu aktualisieren. Die Bundesnetzagentur kann bis zur vollständigen Beseitigung des eingetretenen Schadens Änderungen am Schadensminderungskonzept nach Satz 2 verlangen. Eine Erstattung der Kosten nach Absatz 1 findet nur statt, soweit der anbindungsverpflichtete Übertragungsnetzbetreiber nachweist, dass er alle möglichen zumutbaren Schadensminderungsmaßnahmen nach Satz 1 ergriffen hat. Der anbindungsverpflichtete Übertragungsnetzbetreiber hat den Schadenseintritt, das der Bundesnetzagentur vorgelegte Schadensminderungskonzept nach Satz 2 und die ergriffenen Schadensminderungsmaßnahmen zu dokumentieren und darüber auf seiner Internetseite zu informieren.</w:t>
      </w:r>
    </w:p>
    <w:p>
      <w:r>
        <w:t xml:space="preserve">(4) Der rechnerische Anteil an der zur Erstattung der Kosten nach Absatz 1 nach § 12 Absatz 1 des Energiefinanzierungsgesetzes erhobenen Umlage, der auf die Kosten nach Absatz 1 Satz 1 Nummer 1 entfällt, darf höchstens 0,25 Cent pro Kilowattstunde betragen. Entschädigungszahlungen nach § 17e, die wegen einer Überschreitung des zulässigen Höchstwerts nach Satz 1 in einem Kalenderjahr nicht erstattet werden können, werden einschließlich der Kosten des betroffenen anbindungsverpflichteten Übertragungsnetzbetreibers für eine Zwischenfinanzierung in den folgenden Kalenderjahren erstattet.</w:t>
      </w:r>
    </w:p>
    <w:p>
      <w:r>
        <w:rPr>
          <w:color w:val="555555"/>
          <w:sz w:val="17"/>
        </w:rPr>
        <w:t xml:space="preserve">Zitiervorschlag: § 17f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https://recht.nulegal.eu/gesetze/EnWG%202005/17f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