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16a EnWG 2005 — Aufgaben der Betreiber von Gasverteilernetzen</w:t>
      </w:r>
    </w:p>
    <w:p>
      <w:r>
        <w:rPr>
          <w:color w:val="555555"/>
          <w:sz w:val="18"/>
        </w:rPr>
        <w:t xml:space="preserve">Energiewirtschaftsgesetz</w:t>
      </w:r>
    </w:p>
    <w:p>
      <w:r>
        <w:rPr>
          <w:color w:val="555555"/>
          <w:sz w:val="18"/>
        </w:rPr>
        <w:t xml:space="preserve">Stand: 05.01.2024 (konsolidierte Textfassung, kein amtliches Inkrafttretensdatum)</w:t>
      </w:r>
    </w:p>
    <w:p>
      <w:r>
        <w:t xml:space="preserve">Die §§ 15 und 16 Absatz 1 bis 4a gelten für Betreiber von Gasverteilernetzen im Rahmen ihrer Verteilungsaufgaben entsprechend, soweit sie für die Sicherheit und Zuverlässigkeit der Gasversorgung in ihrem Netz verantwortlich sind.</w:t>
      </w:r>
    </w:p>
    <w:p>
      <w:r>
        <w:rPr>
          <w:color w:val="555555"/>
          <w:sz w:val="17"/>
        </w:rPr>
        <w:t xml:space="preserve">Zitiervorschlag: § 16a EnWG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https://recht.nulegal.eu/gesetze/EnWG%202005/16a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