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13j EnWG 2005 — Festlegungskompetenzen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Regulierungsbehörde wird ermächtigt, nach § 29 Absatz 1 Festlegungen zu treffen zur näheren Bestimmung des Adressatenkreises nach § 13a Absatz 1 Satz 1, zu erforderlichen technischen Anforderungen, die gegenüber den Betreibern betroffener Anlagen aufzustellen sind, zu Methodik und Datenformat der Anforderung durch den Betreiber von Übertragungsnetzen. Zur Bestimmung des finanziellen Ausgleichs nach § 13a Absatz 2 kann die Regulierungsbehörde weitere Vorgaben im Wege einer Festlegung nach § 29 Absatz 1 machen, insbesondere</w:t>
      </w:r>
    </w:p>
    <w:p>
      <w:pPr>
        <w:ind w:left="420"/>
      </w:pPr>
      <w:r>
        <w:t xml:space="preserve">1. dass sich die Art und Höhe des finanziellen Ausgleichs danach unterscheiden, ob es sich um eine Wirk- oder Blindleistungseinspeisung oder einen Wirkleistungsbezug oder um eine leistungserhöhende oder leistungsreduzierende Maßnahme handelt,</w:t>
      </w:r>
    </w:p>
    <w:p>
      <w:pPr>
        <w:ind w:left="420"/>
      </w:pPr>
      <w:r>
        <w:t xml:space="preserve">2. zu einer vereinfachten Bestimmung der notwendigen Auslagen für die tatsächlichen Anpassungen der Einspeisung (Erzeugungsauslagen) oder des Bezugs nach § 13a Absatz 2 Satz 2 Nummer 1; der finanzielle Ausgleich nach § 13a Absatz 2 Satz 3 Nummer 1 kann ganz oder teilweise als Pauschale für vergleichbare Kraftwerkstypen ausgestaltet werden, wobei der pauschale finanzielle Ausgleich die individuell zuzurechnenden Kosten im Einzelfall nicht abdecken muss; für die Typisierung sind geeignete technische Kriterien heranzuziehen; die Regulierungsbehörde kann vorsehen, dass in Einzelfällen, in denen der pauschale finanzielle Ausgleich eine unbillige Härte darstellen würde und ein Anlagenbetreiber individuell höhere zurechenbare Auslagen nachweist, die über der pauschale finanzielle Ausgleich hinausgehenden Kosten erstattet werden können,</w:t>
      </w:r>
    </w:p>
    <w:p>
      <w:pPr>
        <w:ind w:left="420"/>
      </w:pPr>
      <w:r>
        <w:t xml:space="preserve">3. zu der Ermittlung der anrechenbaren Betriebsstunden nach § 13a Absatz 3,</w:t>
      </w:r>
    </w:p>
    <w:p>
      <w:pPr>
        <w:ind w:left="420"/>
      </w:pPr>
      <w:r>
        <w:t xml:space="preserve">4. zu der Ermittlung und zu dem Nachweis der entgangenen Erlösmöglichkeiten nach § 13a Absatz 2 Satz 3 Nummer 3, wobei zwischen Erzeugungsanlagen und Anlagen zur Speicherung elektrischer Energie unterschieden werden kann,</w:t>
      </w:r>
    </w:p>
    <w:p>
      <w:pPr>
        <w:ind w:left="420"/>
      </w:pPr>
      <w:r>
        <w:t xml:space="preserve">5. zu der Bemessung der ersparten Erzeugungsaufwendungen nach § 13a Absatz 2 Satz 4 und</w:t>
      </w:r>
    </w:p>
    <w:p>
      <w:pPr>
        <w:ind w:left="420"/>
      </w:pPr>
      <w:r>
        <w:t xml:space="preserve">6. zu einer vereinfachten Bestimmung der zum Zeitpunkt der Investitionsentscheidung betriebswirtschaftlich geplanten Betriebsstunden nach § 13a Absatz 3; die betriebswirtschaftlich geplanten Betriebsstunden können als Pauschale für vergleichbare Kraftwerkstypen ausgestaltet werden; dabei sind die üblichen Betriebsstunden eines vergleichbaren Kraftwerkstyps zum Zeitpunkt der Investitionsentscheidung zugrunde zu legen.</w:t>
      </w:r>
    </w:p>
    <w:p>
      <w:r>
        <w:t xml:space="preserve">Die Regulierungsbehörde erhebt bei den Betreibern von Anlagen zur Erzeugung oder Speicherung elektrischer Energie die für die Festlegungen nach Satz 2 und für die Prüfung der angemessenen Vergütung notwendigen Daten einschließlich etwaiger Betriebs- und Geschäftsgeheimnisse. Die Betreiber sind insoweit zur Auskunft verpflichtet. Die Regulierungsbehörde kann Festlegungen nach § 29 Absatz 1 zu dem Umfang, Zeitpunkt und der Form der zu erhebenden und mitzuteilenden Daten, insbesondere zu den zulässigen Datenträgern und Übertragungswegen, treffen.</w:t>
      </w:r>
    </w:p>
    <w:p>
      <w:r>
        <w:t xml:space="preserve">(2) Die Bundesnetzagentur kann durch Festlegung nach § 29 Absatz 1 nähere Bestimmungen treffen,</w:t>
      </w:r>
    </w:p>
    <w:p>
      <w:pPr>
        <w:ind w:left="420"/>
      </w:pPr>
      <w:r>
        <w:t xml:space="preserve">1. in welchem Umfang, in welcher Form und innerhalb welcher Frist die Netzbetreiber Maßnahmen nach § 13 Absatz 1 und 2, deren Gründe und die zugrunde liegenden vertraglichen Regelungen der Bundesnetzagentur mitteilen und auf einer gemeinsamen Internetplattform veröffentlichen müssen,</w:t>
      </w:r>
    </w:p>
    <w:p>
      <w:pPr>
        <w:ind w:left="420"/>
      </w:pPr>
      <w:r>
        <w:t xml:space="preserve">1a. in welchen Verfahren, Fristen und welcher Form die Unterrichtung nach § 13a Absatz 1a Satz 4 und 5 vorzunehmen ist,</w:t>
      </w:r>
    </w:p>
    <w:p>
      <w:pPr>
        <w:ind w:left="420"/>
      </w:pPr>
      <w:r>
        <w:t xml:space="preserve">2. zu den Kriterien für die nach § 13 Absatz 3 Satz 1 geltenden Ausnahmefälle,</w:t>
      </w:r>
    </w:p>
    <w:p>
      <w:pPr>
        <w:ind w:left="420"/>
      </w:pPr>
      <w:r>
        <w:t xml:space="preserve">3. zur näheren Ausgestaltung und Abgrenzung der Gründe für Stilllegungen nach § 13b Absatz 1 Satz 1 zweiter Halbsatz,</w:t>
      </w:r>
    </w:p>
    <w:p>
      <w:pPr>
        <w:ind w:left="420"/>
      </w:pPr>
      <w:r>
        <w:t xml:space="preserve">4. zur Ermittlung der anrechenbaren Betriebsstunden nach § 13c Absatz 1 Satz 3 und Absatz 3 Satz 3 zweiter Halbsatz,</w:t>
      </w:r>
    </w:p>
    <w:p>
      <w:pPr>
        <w:ind w:left="420"/>
      </w:pPr>
      <w:r>
        <w:t xml:space="preserve">5. zu den Kriterien eines systemrelevanten Gaskraftwerks nach § 13f Absatz 1,</w:t>
      </w:r>
    </w:p>
    <w:p>
      <w:pPr>
        <w:ind w:left="420"/>
      </w:pPr>
      <w:r>
        <w:t xml:space="preserve">6. zur Form der Ausweisung von systemrelevanten Gaskraftwerken nach § 13f Absatz 1 und zur nachträglichen Anpassung an neuere Erkenntnisse,</w:t>
      </w:r>
    </w:p>
    <w:p>
      <w:pPr>
        <w:ind w:left="420"/>
      </w:pPr>
      <w:r>
        <w:t xml:space="preserve">7. zur Begründung und Nachweisführung nach § 13f,</w:t>
      </w:r>
    </w:p>
    <w:p>
      <w:pPr>
        <w:ind w:left="420"/>
      </w:pPr>
      <w:r>
        <w:t xml:space="preserve">8. zur angemessenen Erstattung von Mehrkosten nach § 13f Absatz 2 Satz 2, die auch nach pauschalierten Maßgaben erfolgen kann, und</w:t>
      </w:r>
    </w:p>
    <w:p>
      <w:pPr>
        <w:ind w:left="420"/>
      </w:pPr>
      <w:r>
        <w:t xml:space="preserve">9. zur näheren Bestimmung der Verpflichteten nach § 13f Absatz 2.</w:t>
      </w:r>
    </w:p>
    <w:p>
      <w:r>
        <w:t xml:space="preserve">(3) Solange und soweit der Verordnungsgeber nach § 13i Absatz 3 keine abweichenden Regelungen getroffen hat, wird die Regulierungsbehörde ermächtigt, nach § 29 Absatz 1 Festlegungen zu den in § 13i Absatz 3 Nummer 1 genannten Punkten zu treffen. Die Regulierungsbehörde wird darüber hinaus ermächtigt, nach § 29 Absatz 1 Festlegungen zu treffen</w:t>
      </w:r>
    </w:p>
    <w:p>
      <w:pPr>
        <w:ind w:left="420"/>
      </w:pPr>
      <w:r>
        <w:t xml:space="preserve">1. zu erforderlichen technischen und zeitlichen Anforderungen, die gegenüber den nach § 13a Absatz 1 und § 13b Absatz 1, 4 und 5 betroffenen Betreibern von Erzeugungsanlagen aufzustellen sind,</w:t>
      </w:r>
    </w:p>
    <w:p>
      <w:pPr>
        <w:ind w:left="420"/>
      </w:pPr>
      <w:r>
        <w:t xml:space="preserve">2. zur Methodik und zum Datenformat der Anforderung durch Betreiber von Übertragungsnetzen,</w:t>
      </w:r>
    </w:p>
    <w:p>
      <w:pPr>
        <w:ind w:left="420"/>
      </w:pPr>
      <w:r>
        <w:t xml:space="preserve">3. zur Form der Ausweisung nach § 13b Absatz 2 und Absatz 5 Satz 1 sowie zur nachträglichen Anpassung an neuere Erkenntnisse und</w:t>
      </w:r>
    </w:p>
    <w:p>
      <w:pPr>
        <w:ind w:left="420"/>
      </w:pPr>
      <w:r>
        <w:t xml:space="preserve">4. zur Begründung und Nachweisführung nach den §§ 13b und 13c.</w:t>
      </w:r>
    </w:p>
    <w:p>
      <w:r>
        <w:t xml:space="preserve">(4) Die Bundesnetzagentur kann den Umfang der Kapazitätsreserve nach Maßgabe der Rechtsverordnung nach § 13h durch Festlegung nach § 29 Absatz 1 anpassen, wenn eine Entscheidung nach § 13e Absatz 5 dies vorsieht oder eine Entscheidung der Europäischen Kommission über die beihilferechtliche Genehmigung der Kapazitätsreserve einen geringeren Umfang vorsieht.</w:t>
      </w:r>
    </w:p>
    <w:p>
      <w:r>
        <w:t xml:space="preserve">(5) Die Bundesnetzagentur kann durch Festlegungen nach § 29 Absatz 1 insbesondere unter Berücksichtigung der Ziele des § 1 frühestens mit Wirkung zum 1. Oktober 2021 nähere Bestimmungen treffen zu</w:t>
      </w:r>
    </w:p>
    <w:p>
      <w:pPr>
        <w:ind w:left="420"/>
      </w:pPr>
      <w:r>
        <w:t xml:space="preserve">1. einem abweichenden kalkulatorischen Mindestpreis nach § 13 Absatz 1c Satz 4 in der auf Grund des Artikels 1 Nummer 9 des Gesetzes vom 13. Mai 2019 (BGBl. I S. 706) ab dem 1. Oktober 2021 geltenden Fassung,</w:t>
      </w:r>
    </w:p>
    <w:p>
      <w:pPr>
        <w:ind w:left="420"/>
      </w:pPr>
      <w:r>
        <w:t xml:space="preserve">2. der Bestimmung der kalkulatorischen Kosten und kalkulatorischen Preise nach § 13 Absatz 1a bis 1c in der auf Grund des Artikels 1 Nummer 9 des Gesetzes vom 13. Mai 2019 (BGBl. I S. 706) ab dem 1. Oktober 2021 geltenden Fassung, einschließlich Vorgaben zur Veröffentlichung durch die Netzbetreiber, und</w:t>
      </w:r>
    </w:p>
    <w:p>
      <w:pPr>
        <w:ind w:left="420"/>
      </w:pPr>
      <w:r>
        <w:t xml:space="preserve">3. dem bilanziellen Ausgleich nach § 13a Absatz 1a in der auf Grund des Artikels 1 Nummer 10 des Gesetzes vom 13. Mai 2019 (BGBl. I S. 706) ab dem 1. Oktober 2021 geltenden Fassung.</w:t>
      </w:r>
    </w:p>
    <w:p>
      <w:r>
        <w:t xml:space="preserve">(6) Die Bundesnetzagentur erlässt durch Festlegungen nach § 29 Absatz 1 insbesondere unter Berücksichtigung der Ziele des § 1 nähere Bestimmungen zu dem Mindestfaktor nach § 13 Absatz 1a, wobei dieser nicht weniger als das Fünffache und nicht mehr als das Fünfzehnfache betragen darf. Die Festlegung des Mindestfaktors nach Satz 1 erfolgt im Einvernehmen mit dem Umweltbundesamt.</w:t>
      </w:r>
    </w:p>
    <w:p>
      <w:r>
        <w:t xml:space="preserve">(7) Die Bundesnetzagentur kann durch Festlegungen nach § 29 Absatz 1 unter besonderer Berücksichtigung der Ziele des § 1 abweichend von § 13 Absatz 6a Satz 5 bestimmen, dass Betreiber eines Elektrizitätsverteilernetzes, an das mindestens 100 000 Kunden unmittelbar oder mittelbar angeschlossen sind, vertragliche Vereinbarungen nach § 13 Absatz 6a unter entsprechender Anwendung der dortigen Vorgaben zur Beseitigung von Engpässen in ihrem Hochspannungsnetz schließen können. Hierzu kann sie nähere Bestimmungen zu Inhalt und Verfahren treffen, insbesondere</w:t>
      </w:r>
    </w:p>
    <w:p>
      <w:pPr>
        <w:ind w:left="420"/>
      </w:pPr>
      <w:r>
        <w:t xml:space="preserve">1. über Art und Umfang des Nachweises, ob die Anlage nach § 13 Absatz 6a Satz 1 Nummer 1 geeignet ist, zur Beseitigung von Gefährdungen oder Störungen der Sicherheit oder Zuverlässigkeit des Elektrizitätsversorgungssystems aufgrund von Netzengpässen im Hochspannungsnetz des Verteilernetzbetreibers effizient beizutragen,</w:t>
      </w:r>
    </w:p>
    <w:p>
      <w:pPr>
        <w:ind w:left="420"/>
      </w:pPr>
      <w:r>
        <w:t xml:space="preserve">2. über Ausnahmen von den Vorgaben des § 13 Absatz 6a Satz 1 Nummer 2,</w:t>
      </w:r>
    </w:p>
    <w:p>
      <w:pPr>
        <w:ind w:left="420"/>
      </w:pPr>
      <w:r>
        <w:t xml:space="preserve">3. über den Nachweis, dass weder das Netz während der Dauer der Vertragslaufzeit im erforderlichen Umfang nach dem Stand der Technik optimiert, verstärkt oder ausgebaut werden kann noch andere geeignete Maßnahmen zur effizienten Beseitigung des Engpasses verfügbar sind,</w:t>
      </w:r>
    </w:p>
    <w:p>
      <w:pPr>
        <w:ind w:left="420"/>
      </w:pPr>
      <w:r>
        <w:t xml:space="preserve">4. dass der Betreiber des Übertragungsnetzes, in dessen Netz das Elektrizitätsverteilernetz unmittelbar oder mittelbar technisch eingebunden ist, der Vereinbarung zustimmt, wobei die Zustimmung nur aus netztechnischen Gründen verweigert werden kann, und</w:t>
      </w:r>
    </w:p>
    <w:p>
      <w:pPr>
        <w:ind w:left="420"/>
      </w:pPr>
      <w:r>
        <w:t xml:space="preserve">5. dass der Betreiber der KWK-Anlage nicht im Sinne des Artikels 3 Absatz 2 der Verordnung (EG) Nr. 139/2004 mit dem Betreiber eines Elektrizitätsverteilernetzes verbunden sein darf.</w:t>
      </w:r>
    </w:p>
    <w:p>
      <w:r>
        <w:t xml:space="preserve">Die Ermächtigung nach Satz 1 ist darauf beschränkt, dass Netzengpässe im Sinne des § 13 Absatz 6a Satz 1 Nummer 1 und Satz 5 im Hochspannungsnetz auftreten.</w:t>
      </w:r>
    </w:p>
    <w:p>
      <w:r>
        <w:rPr>
          <w:color w:val="555555"/>
          <w:sz w:val="17"/>
        </w:rPr>
        <w:t xml:space="preserve">Zitiervorschlag: § 13j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