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12e EnWG 2005 — Bundesbedarfsplan</w:t>
      </w:r>
    </w:p>
    <w:p>
      <w:r>
        <w:rPr>
          <w:color w:val="555555"/>
          <w:sz w:val="18"/>
        </w:rPr>
        <w:t xml:space="preserve">Energiewirtschaftsgesetz</w:t>
      </w:r>
    </w:p>
    <w:p>
      <w:r>
        <w:rPr>
          <w:color w:val="555555"/>
          <w:sz w:val="18"/>
        </w:rPr>
        <w:t xml:space="preserve">Stand: 01.01.2023 (konsolidierte Textfassung, kein amtliches Inkrafttretensdatum)</w:t>
      </w:r>
    </w:p>
    <w:p>
      <w:r>
        <w:t xml:space="preserve">(1) Die Regulierungsbehörde übermittelt den Netzentwicklungsplan mindestens alle vier Jahre der Bundesregierung als Entwurf für einen Bundesbedarfsplan. Die Bundesregierung legt den Entwurf des Bundesbedarfsplans mindestens alle vier Jahre dem Bundesgesetzgeber vor. Die Regulierungsbehörde hat auch bei wesentlichen Änderungen des Netzentwicklungsplans gemäß Satz 1 zu verfahren.</w:t>
      </w:r>
    </w:p>
    <w:p>
      <w:r>
        <w:t xml:space="preserve">(2) Die Regulierungsbehörde kennzeichnet in ihrem Entwurf für einen Bundesbedarfsplan die länderübergreifenden und grenzüberschreitenden Höchstspannungsleitungen sowie die Offshore-Anbindungsleitungen. Dem Entwurf ist eine Begründung beizufügen. Die Vorhaben des Bundesbedarfsplans entsprechen den Zielsetzungen des § 1 dieses Gesetzes.</w:t>
      </w:r>
    </w:p>
    <w:p>
      <w:r>
        <w:t xml:space="preserve">(3) (weggefallen)</w:t>
      </w:r>
    </w:p>
    <w:p>
      <w:r>
        <w:t xml:space="preserve">(4) Mit Erlass des Bundesbedarfsplans durch den Bundesgesetzgeber wird für die darin enthaltenen Vorhaben die energiewirtschaftliche Notwendigkeit und der vordringliche Bedarf festgestellt. Die Feststellungen sind für die Betreiber von Übertragungsnetzen sowie für die Planfeststellung und die Plangenehmigung nach den §§ 43 bis 43d und §§ 18 bis 24 des Netzausbaubeschleunigungsgesetzes Übertragungsnetz verbindlich.</w:t>
      </w:r>
    </w:p>
    <w:p>
      <w:r>
        <w:t xml:space="preserve">(5) Für die Änderung von Bundesbedarfsplänen gilt § 37 Satz 1 des Gesetzes über die Umweltverträglichkeitsprüfung. Soweit danach keine Pflicht zur Durchführung einer Strategischen Umweltprüfung besteht, findet § 12c Absatz 2 keine Anwendung.</w:t>
      </w:r>
    </w:p>
    <w:p>
      <w:r>
        <w:rPr>
          <w:color w:val="555555"/>
          <w:sz w:val="17"/>
        </w:rPr>
        <w:t xml:space="preserve">Zitiervorschlag: § 12e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