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11c EnWG 2005 — Überragendes öffentliches Interesse für Energiespeicheranlagen</w:t>
      </w:r>
    </w:p>
    <w:p>
      <w:r>
        <w:rPr>
          <w:color w:val="555555"/>
          <w:sz w:val="18"/>
        </w:rPr>
        <w:t xml:space="preserve">Energiewirtschaftsgesetz</w:t>
      </w:r>
    </w:p>
    <w:p>
      <w:r>
        <w:rPr>
          <w:color w:val="555555"/>
          <w:sz w:val="18"/>
        </w:rPr>
        <w:t xml:space="preserve">Stand: 24.12.2025 (konsolidierte Textfassung, kein amtliches Inkrafttretensdatum)</w:t>
      </w:r>
    </w:p>
    <w:p>
      <w:r>
        <w:t xml:space="preserve">Die Errichtung und der Betrieb von Energiespeicheranlagen liegen im überragenden öffentlichen Interesse und dienen der öffentlichen Gesundheit und Sicherheit. Bis die Stromversorgung im Bundesgebiet nahezu treibhausgasneutral ist, soll der beschleunigte Ausbau von Energiespeicheranlagen als vorrangiger Belang in die jeweils durchzuführende Schutzgüterabwägung eingebracht werden. Satz 2 ist nicht gegenüber Belangen der Landes- und Bündnisverteidigung anzuwenden.</w:t>
      </w:r>
    </w:p>
    <w:p>
      <w:r>
        <w:rPr>
          <w:color w:val="555555"/>
          <w:sz w:val="17"/>
        </w:rPr>
        <w:t xml:space="preserve">Zitiervorschlag: § 11c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https://recht.nulegal.eu/gesetze/EnWG%202005/11c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