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11b EnWG 2005 — Ausnahme für Energiespeicheranlagen, Festlegungskompetenz</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Der Betreiber eines Elektrizitätsversorgungsnetzes darf abweichend von Teil 2 Abschnitt 2 und 3 Eigentümer sein von Energiespeicheranlagen, die elektrische Energie erzeugen, oder solche errichten, verwalten oder betreiben, sofern</w:t>
      </w:r>
    </w:p>
    <w:p>
      <w:pPr>
        <w:ind w:left="420"/>
      </w:pPr>
      <w:r>
        <w:t xml:space="preserve">1. die Regulierungsbehörde dies nach Absatz 2 auf Antrag des Netzbetreibers genehmigt hat oder</w:t>
      </w:r>
    </w:p>
    <w:p>
      <w:pPr>
        <w:ind w:left="420"/>
      </w:pPr>
      <w:r>
        <w:t xml:space="preserve">2. die Regulierungsbehörde dies für Energiespeicheranlagen, die vollständig integrierte Netzkomponenten darstellen, durch Festlegung gegenüber allen oder einer Gruppe von Netzbetreibern nach § 29 Absatz 1 gestattet hat; sofern eine vollständig integrierte Netzkomponente nicht bereits von einer solchen Festlegung erfasst wird, bleibt der Regulierungsbehörde eine Genehmigung auf Antrag des Netzbetreibers im Einzelfall unbenommen.</w:t>
      </w:r>
    </w:p>
    <w:p>
      <w:r>
        <w:t xml:space="preserve">(2) Die Regulierungsbehörde erteilt ihre Genehmigung nach Absatz 1 Nummer 1, wenn</w:t>
      </w:r>
    </w:p>
    <w:p>
      <w:pPr>
        <w:ind w:left="420"/>
      </w:pPr>
      <w:r>
        <w:t xml:space="preserve">1. der Betreiber eines Elektrizitätsversorgungsnetzes nachgewiesen hat, dass die Energiespeicheranlage im Sinne von Absatz 1</w:t>
      </w:r>
    </w:p>
    <w:p>
      <w:pPr>
        <w:ind w:left="780"/>
      </w:pPr>
      <w:r>
        <w:t xml:space="preserve">a) notwendig ist, damit er seinen Verpflichtungen gemäß § 11 Absatz 1 Satz 1 in effizienter Weise nachkommen kann,</w:t>
      </w:r>
    </w:p>
    <w:p>
      <w:pPr>
        <w:ind w:left="780"/>
      </w:pPr>
      <w:r>
        <w:t xml:space="preserve">b) neben der bestimmungsgemäßen Nutzung nach Buchstabe a nicht verwendet wird, um Leistung oder Arbeit ganz oder teilweise auf den Strommärkten zu kaufen oder zu verkaufen, und</w:t>
      </w:r>
    </w:p>
    <w:p>
      <w:pPr>
        <w:ind w:left="420"/>
      </w:pPr>
      <w:r>
        <w:t xml:space="preserve">2. der Betreiber eines Elektrizitätsversorgungsnetzes ein offenes, transparentes und diskriminierungsfreies Ausschreibungsverfahren nach § 11a durchgeführt hat, dessen Bedingungen die Regulierungsbehörde im Hinblick auf das technische Einsatzkonzept der Energiespeicheranlage im Sinne von Absatz 1 geprüft hat, und</w:t>
      </w:r>
    </w:p>
    <w:p>
      <w:pPr>
        <w:ind w:left="780"/>
      </w:pPr>
      <w:r>
        <w:t xml:space="preserve">a) der Betreiber eines Elektrizitätsversorgungsnetzes den Zuschlag nach § 11a Absatz 1 zur Errichtung, zur Verwaltung oder zum Betrieb der Energiespeicheranlage im Sinne von Absatz 1 nicht an einen Dritten erteilen konnte, oder</w:t>
      </w:r>
    </w:p>
    <w:p>
      <w:pPr>
        <w:ind w:left="780"/>
      </w:pPr>
      <w:r>
        <w:t xml:space="preserve">b) sich nach Erteilung des Zuschlags an einen Dritten herausstellt, dass dieser die mit der Energiespeicheranlage im Sinne von Absatz 1 angebotene Dienstleistung nicht oder nicht rechtzeitig erbringen kann.</w:t>
      </w:r>
    </w:p>
    <w:p>
      <w:r>
        <w:t xml:space="preserve">Die Regulierungsbehörde hat eine Genehmigung nach Satz 1 der Europäischen Kommission und der Agentur der Europäischen Union für die Zusammenarbeit der Energieregulierungsbehörden zusammen mit den entsprechenden Informationen über den Antrag und mit den Gründen für die Gewährung der Ausnahme unverzüglich und unter Wahrung des Schutzes von Betriebs- und Geschäftsgeheimnissen sowie ohne personenbezogene Daten mitzuteilen.</w:t>
      </w:r>
    </w:p>
    <w:p>
      <w:r>
        <w:t xml:space="preserve">(3) Soweit eine Genehmigung unter den Voraussetzungen des Absatzes 2 erteilt wurde, führt die Regulierungsbehörde fünf Jahre nach der Inbetriebnahme der Energiespeicheranlage im Sinne von Absatz 1 und danach in regelmäßigen Abständen von höchstens fünf Jahren eine öffentliche Konsultation durch. Dabei ermittelt die Regulierungsbehörde, ob Dritte zu angemessenen Kosten unter Berücksichtigung der Anforderungen an die Gewährleistung der Sicherheit und Zuverlässigkeit des Elektrizitätsversorgungssystems in der Lage sind, Eigentümer dieser Energiespeicheranlage im Sinne von Absatz 1 zu sein, diese zu verwalten und zu betreiben. Kann die Regulierungsbehörde dies mit hinreichender Wahrscheinlichkeit feststellen, verpflichtet sie den Betreiber eines Elektrizitätsversorgungsnetzes, den Betrieb und die Verwaltung der Energiespeicheranlage im Sinne von Absatz 1 gemäß § 11a in Verbindung mit Absatz 2 Nummer 2 auszuschreiben und nach Erteilung eines Zuschlags an einen Dritten innerhalb von 12 Monaten einzustellen, sofern Belange der Versorgungssicherheit nicht entgegenstehen. Mit dem Betrieb der Energiespeicheranlage im Sinne von Absatz 1 ist auch das Eigentum gegen Zahlung des Restbuchwertes zu übertragen. Mit Übertragung des Eigentums erlischt auch die Genehmigung nach Absatz 2. Die Verpflichtung nach den Sätzen 3 und 4 kann mit Nebenbestimmungen versehen werden. Nach erfolgter Eigentumsübertragung darf die Leistung oder Arbeit der Energiespeicheranlage im Sinne von Absatz 1 weder ganz noch teilweise auf den Strommärkten veräußert werden, solange über die Energiespeicheranlage im Sinne von Absatz 1 ein Dienstleistungsvertrag mit dem Betreiber eines Elektrizitätsversorgungsnetzes besteht, mindestens aber für die Dauer von fünf Jahren, nachdem erstmalig eine Ausschreibung nach Satz 3 für die Energiespeicheranlage im Sinne von Absatz 1 durchgeführt wurde.</w:t>
      </w:r>
    </w:p>
    <w:p>
      <w:r>
        <w:t xml:space="preserve">(4) Während des üblichen kalkulatorischen Abschreibungszeitraums für Batteriespeicheranlagen ist Absatz 3 nicht anzuwenden, sofern es sich um Batteriespeicheranlagen im Eigentum</w:t>
      </w:r>
    </w:p>
    <w:p>
      <w:pPr>
        <w:ind w:left="420"/>
      </w:pPr>
      <w:r>
        <w:t xml:space="preserve">1. eines Übertragungsnetzbetreibers handelt, für die eine Investitionsentscheidung bis zum 31. Dezember 2024 erfolgt, oder eines Verteilernetzbetreibers handelt, für die eine Investitionsentscheidung bis zum 4. Juli 2019 erfolgte, und</w:t>
      </w:r>
    </w:p>
    <w:p>
      <w:pPr>
        <w:ind w:left="420"/>
      </w:pPr>
      <w:r>
        <w:t xml:space="preserve">2. die spätestens zwei Jahre nach der Investitionsentscheidung an das Elektrizitätsversorgungsnetz angeschlossen wurden oder werden und die ausschließlich der reaktiven unmittelbaren Wiederherstellung des sicheren und zuverlässigen Netzbetriebs durch netzbezogene Maßnahmen nach § 13 Absatz 1 Satz 1 Nummer 1 dienen.</w:t>
      </w:r>
    </w:p>
    <w:p>
      <w:r>
        <w:t xml:space="preserve">Die Wiederherstellungsmaßnahme gemäß Satz 1 Nummer 2 beginnt unmittelbar nach Eintritt der Störung und endet, sobald das Problem durch Maßnahmen gemäß § 13 Absatz 1 Satz 1 Nummer 2 und 3 behoben werden kann.</w:t>
      </w:r>
    </w:p>
    <w:p>
      <w:r>
        <w:t xml:space="preserve">(5) Die Bundesnetzagentur wird ermächtigt, durch Festlegung nach § 29 Absatz 1 Vorgaben zur näheren Ausgestaltung der Genehmigungsverfahren nach Absatz 1 Nummer 1 in Verbindung mit den Absätzen 2 und 3 sowie nach Absatz 1 Nummer 2 zweiter Halbsatz zu treffen.</w:t>
      </w:r>
    </w:p>
    <w:p>
      <w:r>
        <w:rPr>
          <w:color w:val="555555"/>
          <w:sz w:val="17"/>
        </w:rPr>
        <w:t xml:space="preserve">Zitiervorschlag: § 11b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