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119 EnWG 2005 — Verordnungsermächtigung für das Forschungs- und Entwicklungsprogramm „Schaufenster intelligente Energie – Digitale Agenda für die Energiewende“</w:t>
      </w:r>
    </w:p>
    <w:p>
      <w:r>
        <w:rPr>
          <w:color w:val="555555"/>
          <w:sz w:val="18"/>
        </w:rPr>
        <w:t xml:space="preserve">Energiewirtschaftsgesetz</w:t>
      </w:r>
    </w:p>
    <w:p>
      <w:r>
        <w:rPr>
          <w:color w:val="555555"/>
          <w:sz w:val="18"/>
        </w:rPr>
        <w:t xml:space="preserve">Stand: 30.07.2022 (konsolidierte Textfassung, kein amtliches Inkrafttretensdatum)</w:t>
      </w:r>
    </w:p>
    <w:p>
      <w:r>
        <w:t xml:space="preserve">(1) Die Bundesregierung wird ermächtigt, durch Rechtsverordnung ohne Zustimmung des Bundesrates für Teilnehmer an dem von der Bundesregierung geförderten Forschungs- und Entwicklungsprogramm „Schaufenster intelligente Energie – Digitale Agenda für die Energiewende“ Regelungen zu treffen, die von den in Absatz 2 Nummer 1 bis 3 genannten Vorschriften abweichen oder Zahlungen im Rahmen dieser Vorschriften erstatten. Die Regelungen dürfen in folgenden Fällen getroffen werden:</w:t>
      </w:r>
    </w:p>
    <w:p>
      <w:pPr>
        <w:ind w:left="420"/>
      </w:pPr>
      <w:r>
        <w:t xml:space="preserve">1. im Fall von Maßnahmen zur Gewährleistung der Sicherheit oder Zuverlässigkeit des Elektrizitätsversorgungssystems nach § 13 Absatz 1 bis 2 und § 14 Absatz 1,</w:t>
      </w:r>
    </w:p>
    <w:p>
      <w:pPr>
        <w:ind w:left="420"/>
      </w:pPr>
      <w:r>
        <w:t xml:space="preserve">2. im Fall von Maßnahmen, die netzbezogene oder marktbezogene Maßnahmen des Netzbetreibers nach § 13 Absatz 1 bis 2 und § 14 Absatz 1 vermeiden, oder</w:t>
      </w:r>
    </w:p>
    <w:p>
      <w:pPr>
        <w:ind w:left="420"/>
      </w:pPr>
      <w:r>
        <w:t xml:space="preserve">3. in Bezug auf Zeiträume, in denen der Wert der Stundenkontrakte für die Preiszone Deutschland am Spotmarkt der Strombörse im Sinn des § 3 Nummer 43a des Erneuerbare-Energien-Gesetzes in der Auktion des Vortages oder des laufenden Tages null oder negativ ist.</w:t>
      </w:r>
    </w:p>
    <w:p>
      <w:r>
        <w:t xml:space="preserve">(1a) Die Bundesregierung wird ermächtigt, durch Rechtsverordnung ohne Zustimmung des Bundesrates in den in Absatz 1 genannten Fällen und unter den in den Absätzen 3 bis 5 genannten Voraussetzungen zu regeln, dass</w:t>
      </w:r>
    </w:p>
    <w:p>
      <w:pPr>
        <w:ind w:left="420"/>
      </w:pPr>
      <w:r>
        <w:t xml:space="preserve">1. bei Netzengpässen im Rahmen von § 13 Absatz 1 die Einspeiseleistung nicht durch die Reduzierung der Erzeugungsleistung der Anlage, sondern durch die Nutzung von Strom in einer zuschaltbaren Last reduziert werden kann, sofern die eingesetzte Last den Strombezug nicht nur zeitlich verschiebt und die entsprechende entlastende physikalische Wirkung für das Stromnetz gewahrt ist, oder</w:t>
      </w:r>
    </w:p>
    <w:p>
      <w:pPr>
        <w:ind w:left="420"/>
      </w:pPr>
      <w:r>
        <w:t xml:space="preserve">2. von der Berechnung der Entschädigung nach § 13a Absatz 2 Satz 3 Nummer 5 abgewichen werden kann.</w:t>
      </w:r>
    </w:p>
    <w:p>
      <w:r>
        <w:t xml:space="preserve">(2) In der Rechtsverordnung können von den in den Nummern 1 bis 3 genannten Vorschriften abweichende Regelungen oder Regelungen zur Erstattung von Zahlungen im Rahmen dieser Verordnung getroffen werden</w:t>
      </w:r>
    </w:p>
    <w:p>
      <w:pPr>
        <w:ind w:left="420"/>
      </w:pPr>
      <w:r>
        <w:t xml:space="preserve">1. zur Erstattung von Netznutzungsentgelten oder einer abweichenden Ermittlung der Netznutzungsentgelte durch den Netzbetreiber bei einem Letztverbraucher, soweit es um die Anwendung von § 17 Absatz 2 sowie von § 19 Absatz 2 Satz 1 und 2 der Stromnetzentgeltverordnung geht,</w:t>
      </w:r>
    </w:p>
    <w:p>
      <w:pPr>
        <w:ind w:left="420"/>
      </w:pPr>
      <w:r>
        <w:t xml:space="preserve">2. für Anlagen zur Stromspeicherung oder zur Umwandlung elektrischer Energie in einen anderen Energieträger eine Befreiung von der Pflicht zur Zahlung oder eine Erstattung</w:t>
      </w:r>
    </w:p>
    <w:p>
      <w:pPr>
        <w:ind w:left="780"/>
      </w:pPr>
      <w:r>
        <w:t xml:space="preserve">a) der Netzentgelte nach § 17 Absatz 1 und § 19 Absatz 2 Satz 15 und Absatz 4 der Stromnetzentgeltverordnung,</w:t>
      </w:r>
    </w:p>
    <w:p>
      <w:pPr>
        <w:ind w:left="780"/>
      </w:pPr>
      <w:r>
        <w:t xml:space="preserve">b) eines Aufschlags auf Netzentgelte nach § 17f Absatz 5 Satz 1 und</w:t>
      </w:r>
    </w:p>
    <w:p>
      <w:pPr>
        <w:ind w:left="780"/>
      </w:pPr>
      <w:r>
        <w:t xml:space="preserve">c) der Umlage nach § 18 Absatz 1 Satz 2 der Verordnung zu abschaltbaren Lasten</w:t>
      </w:r>
    </w:p>
    <w:p>
      <w:pPr>
        <w:ind w:left="420"/>
      </w:pPr>
      <w:r>
        <w:t xml:space="preserve">vorzusehen,</w:t>
      </w:r>
    </w:p>
    <w:p>
      <w:pPr>
        <w:ind w:left="420"/>
      </w:pPr>
      <w:r>
        <w:t xml:space="preserve">3. zur Beschaffung von ab- und zuschaltbaren Lasten auch ohne Einrichtung einer gemeinsamen Internetplattform aller Verteilernetzbetreiber nach § 14 Absatz 1 Satz 1 in Verbindung mit § 13 Absatz 6.</w:t>
      </w:r>
    </w:p>
    <w:p>
      <w:r>
        <w:t xml:space="preserve">(3) Regelungen nach Absatz 2 dürfen nur getroffen werden, wenn</w:t>
      </w:r>
    </w:p>
    <w:p>
      <w:pPr>
        <w:ind w:left="420"/>
      </w:pPr>
      <w:r>
        <w:t xml:space="preserve">1. sie zur Sammlung von Erfahrungen und Lerneffekten im Sinn der Ziele des Förderprogramms nach Absatz 4 beitragen,</w:t>
      </w:r>
    </w:p>
    <w:p>
      <w:pPr>
        <w:ind w:left="420"/>
      </w:pPr>
      <w:r>
        <w:t xml:space="preserve">2. sichergestellt wird, dass bei Anwendung dieser abweichenden Regelungen</w:t>
      </w:r>
    </w:p>
    <w:p>
      <w:pPr>
        <w:ind w:left="780"/>
      </w:pPr>
      <w:r>
        <w:t xml:space="preserve">a) resultierende finanzielle Veränderungen auf den Ausgleich von wirtschaftlichen Nachteilen der Teilnehmer nach Absatz 1 beschränkt werden, die bei der Anwendung des Rechts ohne diese abweichende Regelung entstanden wären,</w:t>
      </w:r>
    </w:p>
    <w:p>
      <w:pPr>
        <w:ind w:left="780"/>
      </w:pPr>
      <w:r>
        <w:t xml:space="preserve">b) beim Ausgleich von wirtschaftlichen Vor- und Nachteilen gegebenenfalls entstandene wirtschaftliche Vorteile und daraus folgende Gewinne an den Netzbetreiber zur Minderung seines Netzentgelts abgeführt werden, an dessen Netz die jeweilige Anlage angeschlossen ist, und</w:t>
      </w:r>
    </w:p>
    <w:p>
      <w:pPr>
        <w:ind w:left="420"/>
      </w:pPr>
      <w:r>
        <w:t xml:space="preserve">3. diese Regelungen auf die Teilnehmer an dem Förderprogramm beschränkt sind und spätestens am 30. Juni 2022 auslaufen.</w:t>
      </w:r>
    </w:p>
    <w:p>
      <w:r>
        <w:t xml:space="preserve">(4) Die Ziele des Förderprogramms im Sinn des Absatzes 3 Nummer 1 sind</w:t>
      </w:r>
    </w:p>
    <w:p>
      <w:pPr>
        <w:ind w:left="420"/>
      </w:pPr>
      <w:r>
        <w:t xml:space="preserve">1. ein effizienter und sicherer Netzbetrieb bei hohen Anteilen erneuerbarer Energien,</w:t>
      </w:r>
    </w:p>
    <w:p>
      <w:pPr>
        <w:ind w:left="420"/>
      </w:pPr>
      <w:r>
        <w:t xml:space="preserve">2. die Hebung von Effizienz- und Flexibilitätspotenzialen markt- und netzseitig,</w:t>
      </w:r>
    </w:p>
    <w:p>
      <w:pPr>
        <w:ind w:left="420"/>
      </w:pPr>
      <w:r>
        <w:t xml:space="preserve">3. ein effizientes und sicheres Zusammenspiel aller Akteure im intelligenten Energienetz,</w:t>
      </w:r>
    </w:p>
    <w:p>
      <w:pPr>
        <w:ind w:left="420"/>
      </w:pPr>
      <w:r>
        <w:t xml:space="preserve">4. die effizientere Nutzung der vorhandenen Netzstruktur sowie</w:t>
      </w:r>
    </w:p>
    <w:p>
      <w:pPr>
        <w:ind w:left="420"/>
      </w:pPr>
      <w:r>
        <w:t xml:space="preserve">5. die Verringerung von Netzausbaubedarf auf der Verteilernetzebene.</w:t>
      </w:r>
    </w:p>
    <w:p>
      <w:r>
        <w:t xml:space="preserve">(5) In der Rechtsverordnung darf die Bundesregierung die Anzeige, Überwachung und Kontrolle der Befreiungen oder Erstattungen aufgrund von abweichenden Regelungen im Rahmen des Forschungs- und Entwicklungsprogramms „Schaufenster intelligente Energie – Digitale Agenda für die Energiewende“ sowie die mit Absatz 3 Nummer 2 verbundenen Aufgaben der Bundesnetzagentur oder Netzbetreibern übertragen.</w:t>
      </w:r>
    </w:p>
    <w:p>
      <w:r>
        <w:rPr>
          <w:color w:val="555555"/>
          <w:sz w:val="17"/>
        </w:rPr>
        <w:t xml:space="preserve">Zitiervorschlag: § 119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119 EnWG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