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118a EnWG 2005 — Regulatorische Rahmenbedingungen für LNG-Anlagen; Verordnungsermächtigung und Subdelegation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24.12.2025 (konsolidierte Textfassung, kein amtliches Inkrafttretensdatum)</w:t>
      </w:r>
    </w:p>
    <w:p>
      <w:r>
        <w:t xml:space="preserve">Das Bundesministerium für Wirtschaft und Energie wird ermächtigt, durch Rechtsverordnung, die nicht der Zustimmung des Bundesrates bedarf, Regelungen zu erlassen zu</w:t>
      </w:r>
    </w:p>
    <w:p>
      <w:pPr>
        <w:ind w:left="420"/>
      </w:pPr>
      <w:r>
        <w:t xml:space="preserve">1. den Rechten und Pflichten eines Betreibers von ortsfesten oder ortsungebundenen LNG-Anlagen,</w:t>
      </w:r>
    </w:p>
    <w:p>
      <w:pPr>
        <w:ind w:left="420"/>
      </w:pPr>
      <w:r>
        <w:t xml:space="preserve">2. den Bedingungen für den Zugang zu ortsfesten oder ortsungebundenen LNG-Anlagen, den Methoden zur Bestimmung dieser Bedingungen, den Methoden zur Bestimmung der Entgelte für den Zugang zu ortsfesten oder ortsungebundenen LNG-Anlagen,</w:t>
      </w:r>
    </w:p>
    <w:p>
      <w:pPr>
        <w:ind w:left="420"/>
      </w:pPr>
      <w:r>
        <w:t xml:space="preserve">3. der Ermittlung der Kosten des Anlagenbetriebs und</w:t>
      </w:r>
    </w:p>
    <w:p>
      <w:pPr>
        <w:ind w:left="420"/>
      </w:pPr>
      <w:r>
        <w:t xml:space="preserve">4. der Anwendbarkeit der Anreizregulierung nach § 21a.</w:t>
      </w:r>
    </w:p>
    <w:p>
      <w:r>
        <w:t xml:space="preserve">Das Bundesministerium für Wirtschaft und Energie kann die Ermächtigung nach Satz 1 durch Rechtsverordnung auf die Bundesnetzagentur übertragen. Die Sätze 1 und 2 sind bis zum Ablauf des 31. Dezember 2027 anzuwenden.</w:t>
      </w:r>
    </w:p>
    <w:p>
      <w:r>
        <w:rPr>
          <w:color w:val="555555"/>
          <w:sz w:val="17"/>
        </w:rPr>
        <w:t xml:space="preserve">Zitiervorschlag: § 118a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https://recht.nulegal.eu/gesetze/EnWG%202005/118a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