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117c EnWG 2005 — Umgang mit geheimhaltungsbedürftigen Informationen</w:t>
      </w:r>
    </w:p>
    <w:p>
      <w:r>
        <w:rPr>
          <w:color w:val="555555"/>
          <w:sz w:val="18"/>
        </w:rPr>
        <w:t xml:space="preserve">Energiewirtschaftsgesetz</w:t>
      </w:r>
    </w:p>
    <w:p>
      <w:r>
        <w:rPr>
          <w:color w:val="555555"/>
          <w:sz w:val="18"/>
        </w:rPr>
        <w:t xml:space="preserve">Stand: 05.01.2024 (konsolidierte Textfassung, kein amtliches Inkrafttretensdatum)</w:t>
      </w:r>
    </w:p>
    <w:p>
      <w:r>
        <w:t xml:space="preserve">In Bezug auf die Erhebung, Weitergabe und Veröffentlichung geheimhaltungsbedürftiger Informationen, die die Bundeswehr, den Militärischen Abschirmdienst, verbündete Streitkräfte oder von diesen Stellen beauftragte Dritte betreffen, stimmt sich die Regulierungsbehörde mit dem Bundesministerium der Verteidigung oder, für die Gaststreitkräfte, mit dem Bundesministerium für Wohnen, Stadtentwicklung und Bauwesen ab. Von der Erhebung, Weitergabe und Veröffentlichung nach diesem Gesetz sind solche Informationen ausgenommen, bei deren Verarbeitung eine Gefährdung der öffentlichen und nationalen Sicherheit nicht auszuschließen ist und bei denen das Interesse am Schutz dieser Informationen das allgemeine Interesse an deren Bekanntgabe überwiegt.</w:t>
      </w:r>
    </w:p>
    <w:p>
      <w:r>
        <w:rPr>
          <w:color w:val="555555"/>
          <w:sz w:val="17"/>
        </w:rPr>
        <w:t xml:space="preserve">Zitiervorschlag: § 117c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https://recht.nulegal.eu/gesetze/EnWG%202005/117c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