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113c EnWG 2005 — Übergangsregelungen zu Sicherheitsanforderungen; Anzeigepflicht und Verfahren zur Prüfung von Umstellungsvorhaben</w:t>
      </w:r>
    </w:p>
    <w:p>
      <w:r>
        <w:rPr>
          <w:color w:val="555555"/>
          <w:sz w:val="18"/>
        </w:rPr>
        <w:t xml:space="preserve">Energiewirtschaftsgesetz</w:t>
      </w:r>
    </w:p>
    <w:p>
      <w:r>
        <w:rPr>
          <w:color w:val="555555"/>
          <w:sz w:val="18"/>
        </w:rPr>
        <w:t xml:space="preserve">Stand: 30.07.2021 (konsolidierte Textfassung, kein amtliches Inkrafttretensdatum)</w:t>
      </w:r>
    </w:p>
    <w:p>
      <w:r>
        <w:t xml:space="preserve">(1) Für Wasserstoffleitungen, die für einen maximal zulässigen Betriebsdruck von mehr als 16 Bar ausgelegt sind, ist die Gashochdruckleitungsverordnung vom 18. Mai 2011 (BGBl. I S. 928), die zuletzt durch Artikel 24 des Gesetzes vom 13. Mai 2019 (BGBl. I S. 706) geändert worden ist, entsprechend anzuwenden.</w:t>
      </w:r>
    </w:p>
    <w:p>
      <w:r>
        <w:t xml:space="preserve">(2) Bis zum Erlass von technischen Regeln für Wasserstoffanlagen ist § 49 Absatz 2 entsprechend anzuwenden, wobei die technischen Regeln des Deutschen Vereins des Gas- und Wasserfaches e. V. auf Wasserstoffanlagen unter Beachtung der spezifischen Eigenschaften des Wasserstoffes sinngemäß anzuwenden sind. Die zuständige Behörde kann die Einhaltung der technischen Anforderungen nach § 49 Absatz 1 regelmäßig überprüfen. § 49 Absatz 5 bis 7 bleibt unberührt.</w:t>
      </w:r>
    </w:p>
    <w:p>
      <w:r>
        <w:t xml:space="preserve">(3) Die Umstellung einer Leitung für den Transport von Erdgas auf den Transport von Wasserstoff ist der zuständigen Behörde mindestens acht Wochen vor dem geplanten Beginn der Umstellung unter Beifügung aller für die Beurteilung der Sicherheit erforderlichen Unterlagen schriftlich oder durch Übermittlung in elektronischer Form anzuzeigen und zu beschreiben. Der Anzeige ist die gutachterliche Äußerung eines Sachverständigen beizufügen, aus der hervorgeht, dass die angegebene Beschaffenheit der genutzten Leitung den Anforderungen des § 49 Absatz 1 entspricht. Die zuständige Behörde kann die geplante Umstellung innerhalb einer Frist von acht Wochen beanstanden, wenn die angegebene Beschaffenheit der zu nutzenden Leitung nicht den Anforderungen des § 49 Absatz 1 entspricht. Die Frist beginnt, sobald die vollständigen Unterlagen und die gutachterliche Äußerung der zuständigen Behörde vorliegen.</w:t>
      </w:r>
    </w:p>
    <w:p>
      <w:r>
        <w:rPr>
          <w:color w:val="555555"/>
          <w:sz w:val="17"/>
        </w:rPr>
        <w:t xml:space="preserve">Zitiervorschlag: § 113c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https://recht.nulegal.eu/gesetze/EnWG%202005/113c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