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113b EnWG 2005 — Umstellung von Erdgasleitungen im Netzentwicklungsplan Gas und Wasserstoff</w:t>
      </w:r>
    </w:p>
    <w:p>
      <w:r>
        <w:rPr>
          <w:color w:val="555555"/>
          <w:sz w:val="18"/>
        </w:rPr>
        <w:t xml:space="preserve">Energiewirtschaftsgesetz</w:t>
      </w:r>
    </w:p>
    <w:p>
      <w:r>
        <w:rPr>
          <w:color w:val="555555"/>
          <w:sz w:val="18"/>
        </w:rPr>
        <w:t xml:space="preserve">Stand: 29.05.2024 (konsolidierte Textfassung, kein amtliches Inkrafttretensdatum)</w:t>
      </w:r>
    </w:p>
    <w:p>
      <w:r>
        <w:t xml:space="preserve">Fernleitungsnetzbetreiber können im Rahmen des Netzentwicklungsplans Gas und Wasserstoff gemäß den §§ 15a bis 15e Gasversorgungsleitungen kenntlich machen, die perspektivisch auf eine Wasserstoffnutzung umgestellt werden könnten. Es ist darzulegen, dass im Zeitpunkt einer Umstellung solcher Leitungen auf Wasserstoff sichergestellt ist, dass das verbleibende Fernleitungsnetz die dem Szenariorahmen zugrunde gelegten Kapazitätsbedarfe erfüllen kann; hierfür kann der Netzentwicklungsplan Gas zusätzliche Ausbaumaßnahmen des Erdgasnetzes in einem geringfügigen Umfang ausweisen. Die Entscheidung nach § 15d Absatz 1 Satz 2 bis 4 kann mit Nebenbestimmungen verbunden werden, soweit dies erforderlich ist, um zu gewährleisten, dass die Vorgaben des Satzes 2 erfüllt werden.</w:t>
      </w:r>
    </w:p>
    <w:p>
      <w:r>
        <w:rPr>
          <w:color w:val="555555"/>
          <w:sz w:val="17"/>
        </w:rPr>
        <w:t xml:space="preserve">Zitiervorschlag: § 113b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https://recht.nulegal.eu/gesetze/EnWG%202005/113b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