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113a EnWG 2005 — Überleitung von Wegenutzungsrechten auf Wasserstoffleitungen</w:t>
      </w:r>
    </w:p>
    <w:p>
      <w:r>
        <w:rPr>
          <w:color w:val="555555"/>
          <w:sz w:val="18"/>
        </w:rPr>
        <w:t xml:space="preserve">Energiewirtschaftsgesetz</w:t>
      </w:r>
    </w:p>
    <w:p>
      <w:r>
        <w:rPr>
          <w:color w:val="555555"/>
          <w:sz w:val="18"/>
        </w:rPr>
        <w:t xml:space="preserve">Stand: 30.07.2021 (konsolidierte Textfassung, kein amtliches Inkrafttretensdatum)</w:t>
      </w:r>
    </w:p>
    <w:p>
      <w:r>
        <w:t xml:space="preserve">(1) Ist nach bestehenden Gestattungsverträgen, beschränkt persönlichen Dienstbarkeiten oder sonstigen Vereinbarungen, die keine Eintragung einer beschränkt persönlichen Dienstbarkeit vorsehen, für Grundstücke, die Errichtung und der Betrieb von Gasversorgungsleitungen gestattet, so sind diese im Zweifel so auszulegen, dass von ihnen auch die Errichtung und der Betrieb der Leitungen zum Transport von Wasserstoff umfasst ist. Dies umfasst auch die Begriffe „Gasleitung“, „Ferngasleitung“ oder „Erdgasleitung“.</w:t>
      </w:r>
    </w:p>
    <w:p>
      <w:r>
        <w:t xml:space="preserve">(2) Solange zugunsten der Betreiber von Energieversorgungsnetzen Wegenutzungsverträge im Sinne des § 46 für Gasleitungen einschließlich Fernwirkleitungen zur Netzsteuerung und Zubehör bestehen, gelten diese auch für Transport und Verteilung von Wasserstoff bis zum Ende ihrer vereinbarten Laufzeit fort.</w:t>
      </w:r>
    </w:p>
    <w:p>
      <w:r>
        <w:t xml:space="preserve">(3) Werden die Voraussetzungen nach Absatz 2 Satz 1 nicht mehr erfüllt, haben die Gemeinden dem Betreiber des Wasserstoffnetzes ihre öffentlichen Verkehrswege auf Basis von Wegenutzungsverträgen nach § 46 zur Verfügung zu stellen, die für einzelne oder alle Gase im Sinne dieses Gesetzes gelten, einschließlich der Gestattungen nach § 46 Absatz 1 Satz 1 für Wasserstoffleitungen, und deren Bedingungen nicht schlechter sein dürfen als die der Verträge nach Absatz 2 Satz 1.</w:t>
      </w:r>
    </w:p>
    <w:p>
      <w:r>
        <w:rPr>
          <w:color w:val="555555"/>
          <w:sz w:val="17"/>
        </w:rPr>
        <w:t xml:space="preserve">Zitiervorschlag: § 113a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