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EnWG 2005 — Geschlossene Verteilernetze</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 7 Absatz 1 Satz 2, § 7c Absatz 1, die §§ 12h, 14 Absatz 2, die §§ 14a, 14c, 14d, 14e, 18, 19, 20b, 21a, 22 Absatz 1, die §§ 23a und 32 Absatz 2 sowie die §§ 33, 35 und 52 sind auf den Betrieb eines geschlossenen Verteilernetzes nicht anzuwenden.</w:t>
      </w:r>
    </w:p>
    <w:p>
      <w:r>
        <w:t xml:space="preserve">(2) Die Regulierungsbehörde stuft ein Energieversorgungsnetz, mit dem Energie zum Zwecke der Ermöglichung der Versorgung von Kunden in einem geografisch begrenzten Industrie- oder Gewerbegebiet oder einem Gebiet verteilt wird, in dem Leistungen gemeinsam genutzt werden, als geschlossenes Verteilernetz ein, wenn</w:t>
      </w:r>
    </w:p>
    <w:p>
      <w:pPr>
        <w:ind w:left="420"/>
      </w:pPr>
      <w:r>
        <w:t xml:space="preserve">1. die Tätigkeiten oder Produktionsverfahren der Anschlussnutzer dieses Netzes aus konkreten technischen oder sicherheitstechnischen Gründen verknüpft sind oder</w:t>
      </w:r>
    </w:p>
    <w:p>
      <w:pPr>
        <w:ind w:left="420"/>
      </w:pPr>
      <w:r>
        <w:t xml:space="preserve">2. mit dem Netz in erster Linie Energie an den Netzeigentümer oder -betreiber oder an mit diesen verbundene Unternehmen verteilt wird; maßgeblich ist der Durchschnitt der letzten drei Kalenderjahre; gesicherte Erkenntnisse über künftige Anteile sind zu berücksichtigen.</w:t>
      </w:r>
    </w:p>
    <w:p>
      <w:r>
        <w:t xml:space="preserve">Die Einstufung erfolgt nur, wenn keine Letztverbraucher, die Energie für den Eigenverbrauch im Haushalt kaufen, über das Netz versorgt werden oder nur eine geringe Zahl von solchen Letztverbrauchern, wenn diese ein Beschäftigungsverhältnis oder eine vergleichbare Beziehung zum Eigentümer oder Betreiber des Netzes unterhalten.</w:t>
      </w:r>
    </w:p>
    <w:p>
      <w:r>
        <w:t xml:space="preserve">(3) Die Einstufung erfolgt auf Antrag des Netzbetreibers. Der Antrag muss folgende Angaben enthalten:</w:t>
      </w:r>
    </w:p>
    <w:p>
      <w:pPr>
        <w:ind w:left="420"/>
      </w:pPr>
      <w:r>
        <w:t xml:space="preserve">1. Firma und Sitz des Netzbetreibers und des Netzeigentümers,</w:t>
      </w:r>
    </w:p>
    <w:p>
      <w:pPr>
        <w:ind w:left="420"/>
      </w:pPr>
      <w:r>
        <w:t xml:space="preserve">2. Angaben nach § 23c Absatz 1 oder § 23c Absatz 4 Nummer 1 bis 5,</w:t>
      </w:r>
    </w:p>
    <w:p>
      <w:pPr>
        <w:ind w:left="420"/>
      </w:pPr>
      <w:r>
        <w:t xml:space="preserve">3. Anzahl der versorgten Haushaltskunden,</w:t>
      </w:r>
    </w:p>
    <w:p>
      <w:pPr>
        <w:ind w:left="420"/>
      </w:pPr>
      <w:r>
        <w:t xml:space="preserve">4. vorgelagertes Netz einschließlich der Spannung oder des Drucks, mit der oder dem das Verteilernetz angeschlossen ist,</w:t>
      </w:r>
    </w:p>
    <w:p>
      <w:pPr>
        <w:ind w:left="420"/>
      </w:pPr>
      <w:r>
        <w:t xml:space="preserve">5. weitere Verteilernetze, die der Netzbetreiber betreibt.</w:t>
      </w:r>
    </w:p>
    <w:p>
      <w:r>
        <w:t xml:space="preserve">Das Verteilernetz gilt ab vollständiger Antragstellung bis zur Entscheidung der Regulierungsbehörde als geschlossenes Verteilernetz.</w:t>
      </w:r>
    </w:p>
    <w:p>
      <w:r>
        <w:t xml:space="preserve">(4) Jeder Netznutzer eines geschlossenen Verteilernetzes kann eine Überprüfung der Entgelte durch die Regulierungsbehörde verlangen; § 31 findet insoweit keine Anwendung. Es wird vermutet, dass die Bestimmung der Netznutzungsentgelte den rechtlichen Vorgaben entspricht, wenn der Betreiber des geschlossenen Verteilernetzes kein höheres Entgelt fordert als der Betreiber des vorgelagerten Energieversorgungsnetzes für die Nutzung des an das geschlossene Verteilernetz angrenzenden Energieversorgungsnetzes der allgemeinen Versorgung auf gleicher Netz-oder Umspannebene; grenzen mehrere Energieversorgungsnetze der allgemeinen Versorgung auf gleicher Netz- oder Umspannebene an, ist das niedrigste Entgelt maßgeblich. § 31 Absatz 1, 2 und 4 sowie § 32 Absatz 1 und 3 bis 5 finden entsprechend Anwendung.</w:t>
      </w:r>
    </w:p>
    <w:p>
      <w:r>
        <w:rPr>
          <w:color w:val="555555"/>
          <w:sz w:val="17"/>
        </w:rPr>
        <w:t xml:space="preserve">Zitiervorschlag: § 110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