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10d EnWG 2005 — Aufsichtsrat des Unabhängigen Transportnetzbetreibers</w:t>
      </w:r>
    </w:p>
    <w:p>
      <w:r>
        <w:rPr>
          <w:color w:val="555555"/>
          <w:sz w:val="18"/>
        </w:rPr>
        <w:t xml:space="preserve">Energiewirtschaftsgesetz</w:t>
      </w:r>
    </w:p>
    <w:p>
      <w:r>
        <w:rPr>
          <w:color w:val="555555"/>
          <w:sz w:val="18"/>
        </w:rPr>
        <w:t xml:space="preserve">Stand: 29.05.2024 (konsolidierte Textfassung, kein amtliches Inkrafttretensdatum)</w:t>
      </w:r>
    </w:p>
    <w:p>
      <w:r>
        <w:t xml:space="preserve">(1) Der Unabhängige Transportnetzbetreiber hat über einen Aufsichtsrat nach Abschnitt 2 des Teils 4 des Aktiengesetzes zu verfügen.</w:t>
      </w:r>
    </w:p>
    <w:p>
      <w:r>
        <w:t xml:space="preserve">(2) Entscheidungen, die Ernennungen, Bestätigungen, Beschäftigungsbedingungen für Personen der Unternehmensleitung des Unabhängigen Transportnetzbetreibers, einschließlich Vergütung und Vertragsbeendigung, betreffen, werden vom Aufsichtsrat getroffen. Der Aufsichtsrat entscheidet, abweichend von § 119 des Aktiengesetzes, auch über die Genehmigung der jährlichen und langfristigen Finanzpläne des Unabhängigen Transportnetzbetreibers, über die Höhe der Verschuldung des Unabhängigen Transportnetzbetreibers sowie die Höhe der an die Anteilseigner des Unabhängigen Transportnetzbetreibers auszuzahlenden Dividenden. Entscheidungen, die die laufenden Geschäfte des Transportnetzbetreibers, insbesondere den Netzbetrieb sowie die Aufstellung des zehnjährigen Netzentwicklungsplans nach den §§ 12a bis 12f oder nach den §§ 15a bis 15e betreffen, sind ausschließlich von der Unternehmensleitung des Unabhängigen Transportnetzbetreibers zu treffen.</w:t>
      </w:r>
    </w:p>
    <w:p>
      <w:r>
        <w:t xml:space="preserve">(3) § 10c Absatz 1 bis 5 gilt für die Hälfte der Mitglieder des Aufsichtrats des Unabhängigen Transportnetzbetreibers abzüglich einem Mitglied entsprechend. § 10c Absatz 1 Satz 1 und 2 sowie Satz 4 Nummer 2 gilt für die übrigen Mitglieder des Aufsichtsrates des Unabhängigen Transportnetzbetreibers entsprechend.</w:t>
      </w:r>
    </w:p>
    <w:p>
      <w:r>
        <w:rPr>
          <w:color w:val="555555"/>
          <w:sz w:val="17"/>
        </w:rPr>
        <w:t xml:space="preserve">Zitiervorschlag: § 10d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