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109 EnWG 2005 — Unternehmen der öffentlichen Hand, Geltungsbereich</w:t>
      </w:r>
    </w:p>
    <w:p>
      <w:r>
        <w:rPr>
          <w:color w:val="555555"/>
          <w:sz w:val="18"/>
        </w:rPr>
        <w:t xml:space="preserve">Energiewirtschaftsgesetz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findet auch Anwendung auf Unternehmen, die ganz oder teilweise im Eigentum der öffentlichen Hand stehen oder die von ihr verwaltet oder betrieben werden.</w:t>
      </w:r>
    </w:p>
    <w:p>
      <w:r>
        <w:t xml:space="preserve">(2) Dieses Gesetz findet Anwendung auf alle Verhaltensweisen, die sich im Geltungsbereich dieses Gesetzes auswirken, auch wenn sie außerhalb des Geltungsbereichs dieses Gesetzes veranlasst werden.</w:t>
      </w:r>
    </w:p>
    <w:p>
      <w:r>
        <w:rPr>
          <w:color w:val="555555"/>
          <w:sz w:val="17"/>
        </w:rPr>
        <w:t xml:space="preserve">Zitiervorschlag: § 109 EnWG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https://recht.nulegal.eu/gesetze/EnWG%202005/109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