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106 EnWG 2005 — Zuständiger Senat beim Oberlandesgericht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(1) Die nach § 91 des Gesetzes gegen Wettbewerbsbeschränkungen bei den Oberlandesgerichten gebildeten Kartellsenate entscheiden über die nach diesem Gesetz den Oberlandesgerichten zugewiesenen Rechtssachen, in den Fällen des § 102 über die Berufung gegen Endurteile und die Beschwerde gegen sonstige Entscheidungen in bürgerlichen Rechtsstreitigkeiten sowie über Verbandsklagen nach dem Verbraucherrechtedurchsetzungsgesetz, die Ansprüche und Rechtsverhältnisse in den in § 102 aufgeführten bürgerlichen Rechtsstreitigkeiten betreffen.</w:t>
      </w:r>
    </w:p>
    <w:p>
      <w:r>
        <w:t xml:space="preserve">(2) Die §§ 92 und 93 des Gesetzes gegen Wettbewerbsbeschränkungen gelten entsprechend.</w:t>
      </w:r>
    </w:p>
    <w:p>
      <w:r>
        <w:rPr>
          <w:color w:val="555555"/>
          <w:sz w:val="17"/>
        </w:rPr>
        <w:t xml:space="preserve">Zitiervorschlag: § 106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https://recht.nulegal.eu/gesetze/EnWG%202005/106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