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EnWG 2005 — Unabhängiger Transportnetzbetreiber</w:t>
      </w:r>
    </w:p>
    <w:p>
      <w:r>
        <w:rPr>
          <w:color w:val="555555"/>
          <w:sz w:val="18"/>
        </w:rPr>
        <w:t xml:space="preserve">Energiewirtschaftsgesetz</w:t>
      </w:r>
    </w:p>
    <w:p>
      <w:r>
        <w:rPr>
          <w:color w:val="555555"/>
          <w:sz w:val="18"/>
        </w:rPr>
        <w:t xml:space="preserve">Stand: 24.12.2025 (konsolidierte Textfassung, kein amtliches Inkrafttretensdatum)</w:t>
      </w:r>
    </w:p>
    <w:p>
      <w:r>
        <w:t xml:space="preserve">(1) Vertikal integrierte Unternehmen können einen Unabhängigen Transportnetzbetreiber nach Maßgabe dieser Bestimmung sowie der §§ 10a bis 10e benennen:</w:t>
      </w:r>
    </w:p>
    <w:p>
      <w:pPr>
        <w:ind w:left="420"/>
      </w:pPr>
      <w:r>
        <w:t xml:space="preserve">1. für ein Transportnetz, wenn es am 3. September 2009 im Eigentum des vertikal integrierten Unternehmens stand, oder</w:t>
      </w:r>
    </w:p>
    <w:p>
      <w:pPr>
        <w:ind w:left="420"/>
      </w:pPr>
      <w:r>
        <w:t xml:space="preserve">2. für ein Fernleitungsnetz, das Deutschland mit einem Drittstaat verbindet, in Bezug auf den Abschnitt von der Grenze des deutschen Hoheitsgebietes bis zum ersten Kopplungspunkt mit dem deutschen Netz, wenn das Fernleitungsnetz am 23. Mai 2019 im Eigentum des vertikal integrierten Unternehmens stand.</w:t>
      </w:r>
    </w:p>
    <w:p>
      <w:r>
        <w:t xml:space="preserve">Der Unabhängige Transportnetzbetreiber hat neben den Aufgaben nach Teil 3 Abschnitt 1 bis 3 mindestens für folgende Bereiche verantwortlich zu sein:</w:t>
      </w:r>
    </w:p>
    <w:p>
      <w:pPr>
        <w:ind w:left="420"/>
      </w:pPr>
      <w:r>
        <w:t xml:space="preserve">1. die Vertretung des Unabhängigen Transportnetzbetreibers gegenüber Dritten und der Regulierungsbehörde,</w:t>
      </w:r>
    </w:p>
    <w:p>
      <w:pPr>
        <w:ind w:left="420"/>
      </w:pPr>
      <w:r>
        <w:t xml:space="preserve">2. die Vertretung des Unabhängigen Transportnetzbetreibers innerhalb des Europäischen Verbunds der Übertragungs- oder Fernleitungsnetzbetreiber,</w:t>
      </w:r>
    </w:p>
    <w:p>
      <w:pPr>
        <w:ind w:left="420"/>
      </w:pPr>
      <w:r>
        <w:t xml:space="preserve">3. die Erhebung aller transportnetzbezogenen Entgelte, einschließlich der Netzentgelte, sowie gegebenenfalls anfallender Entgelte für Hilfsdienste, insbesondere für Gasaufbereitung und die Beschaffung oder Bereitstellung von Ausgleichs- oder Verlustenergie,</w:t>
      </w:r>
    </w:p>
    <w:p>
      <w:pPr>
        <w:ind w:left="420"/>
      </w:pPr>
      <w:r>
        <w:t xml:space="preserve">4. die Einrichtung und den Unterhalt solcher Einrichtungen, die üblicherweise für mehrere Teile des vertikal integrierten Unternehmens tätig wären, insbesondere eine eigene Rechtsabteilung und eigene Buchhaltung sowie die Betreuung der beim Unabhängigen Transportnetzbetreiber vorhandenen Informationstechnologie-Infrastruktur,</w:t>
      </w:r>
    </w:p>
    <w:p>
      <w:pPr>
        <w:ind w:left="420"/>
      </w:pPr>
      <w:r>
        <w:t xml:space="preserve">5. die Gründung von geeigneten Gemeinschaftsunternehmen, auch mit anderen Transportnetzbetreibern, mit Energiebörsen und anderen relevanten Akteuren, mit dem Ziel die Entwicklung von regionalen Strom- oder Gasmärkten zu fördern, die Versorgungssicherheit zu gewährleisten oder den Prozess der Liberalisierung der Energiemärkte zu erleichtern.</w:t>
      </w:r>
    </w:p>
    <w:p>
      <w:r>
        <w:t xml:space="preserve">(2) Vertikal integrierte Unternehmen haben die Unabhängigkeit ihrer im Sinne von § 3 Nummer 109 verbundenen Unabhängigen Transportnetzbetreiber hinsichtlich der Organisation, der Entscheidungsgewalt und der Ausübung des Transportnetzgeschäfts nach Maßgabe der §§ 10a bis 10e zu gewährleisten. Vertikal integrierte Unternehmen haben den Unabhängigen Transportnetzbetreiber in einer der in den Anhängen I und II zu der Richtlinie (EU) 2017/1132 in der Fassung vom 14. Juni 2017 zulässigen Rechtsform zu organisieren.</w:t>
      </w:r>
    </w:p>
    <w:p>
      <w:r>
        <w:rPr>
          <w:color w:val="555555"/>
          <w:sz w:val="17"/>
        </w:rPr>
        <w:t xml:space="preserve">Zitiervorschlag: § 10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