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EnWFachwBAProFV — Inkrafttreten, Außerkrafttreten</w:t>
      </w:r>
    </w:p>
    <w:p>
      <w:r>
        <w:rPr>
          <w:color w:val="555555"/>
          <w:sz w:val="18"/>
        </w:rPr>
        <w:t xml:space="preserve">Energiewirtschaftsfachwirt-Bachelor-Professional-Fortbildungsverordnung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Diese Verordnung tritt am Tag nach der Verkündung in Kraft. Gleichzeitig tritt die Energiewirtschaftsfachwirtprüfungsverordnung vom 9. Mai 2017 (BGBl. I S. 1163), die durch Artikel 82 der Verordnung vom 9. Dezember 2019 (BGBl. I S. 2153) geändert worden ist, außer Kraft.</w:t>
      </w:r>
    </w:p>
    <w:p>
      <w:r>
        <w:rPr>
          <w:color w:val="555555"/>
          <w:sz w:val="17"/>
        </w:rPr>
        <w:t xml:space="preserve">Zitiervorschlag: § 18 EnWFachwBAProFV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https://recht.nulegal.eu/gesetze/EnWFachwBAProFV/18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