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EnWFachwBAProFV — Befreiung von einzelnen Prüfungsbestandteilen</w:t>
      </w:r>
    </w:p>
    <w:p>
      <w:r>
        <w:rPr>
          <w:color w:val="555555"/>
          <w:sz w:val="18"/>
        </w:rPr>
        <w:t xml:space="preserve">Energiewirtschaftsfachwirt-Bachelor-Professional-Fortbildungsverordnung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11 und 12 außer Betracht. Für die übrigen Prüfungsbestandteile erhöhen sich die Anteile nach § 11 Absatz 2 oder Absatz 3 oder § 12 Absatz 3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13 EnWFachwBAProFV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https://recht.nulegal.eu/gesetze/EnWFachwBAProFV/13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