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EnWFachwBAProFV — Bewertung der Prüfungsleistungen</w:t>
      </w:r>
    </w:p>
    <w:p>
      <w:r>
        <w:rPr>
          <w:color w:val="555555"/>
          <w:sz w:val="18"/>
        </w:rPr>
        <w:t xml:space="preserve">Energiewirtschaftsfachwirt-Bachelor-Professional-Fortbildungsverordnung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(1) Jede Prüfungsleistung ist nach Maßgabe der Anlage 1 mit Punkten zu bewerten.</w:t>
      </w:r>
    </w:p>
    <w:p>
      <w:r>
        <w:t xml:space="preserve">(2) In der schriftlichen Prüfung sind die beiden Prüfungsleistungen nach § 9 Absatz 2 jeweils einzeln zu bewerten. Aus den Bewertungen der beiden Prüfungsleistungen wird als Bewertung der schriftlichen Prüfung das arithmetische Mittel berechnet.</w:t>
      </w:r>
    </w:p>
    <w:p>
      <w:r>
        <w:t xml:space="preserve">(3) In der mündlichen Prüfung sind als Prüfungsleistungen jeweils einzeln zu bewerten:</w:t>
      </w:r>
    </w:p>
    <w:p>
      <w:pPr>
        <w:ind w:left="420"/>
      </w:pPr>
      <w:r>
        <w:t xml:space="preserve">1. die Präsentation nach § 10 Absatz 2,</w:t>
      </w:r>
    </w:p>
    <w:p>
      <w:pPr>
        <w:ind w:left="420"/>
      </w:pPr>
      <w:r>
        <w:t xml:space="preserve">2. das Fachgespräch nach § 10 Absatz 3.</w:t>
      </w:r>
    </w:p>
    <w:p>
      <w:r>
        <w:t xml:space="preserve">Aus den Bewertungen der Präsentation und des Fachgesprächs wird als Bewertung der mündlichen Prüfung das gewichtete arithmetische Mittel berechnet. Dabei sind die Bewertungen wie folgt zu gewichten:</w:t>
      </w:r>
    </w:p>
    <w:p>
      <w:pPr>
        <w:ind w:left="420"/>
      </w:pPr>
      <w:r>
        <w:t xml:space="preserve">1. die Bewertung der Präsentation mit einem Drittel und</w:t>
      </w:r>
    </w:p>
    <w:p>
      <w:pPr>
        <w:ind w:left="420"/>
      </w:pPr>
      <w:r>
        <w:t xml:space="preserve">2. die Bewertung des Fachgesprächs mit zwei Dritteln.</w:t>
      </w:r>
    </w:p>
    <w:p>
      <w:r>
        <w:rPr>
          <w:color w:val="555555"/>
          <w:sz w:val="17"/>
        </w:rPr>
        <w:t xml:space="preserve">Zitiervorschlag: § 11 EnWFachwBAProFV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https://recht.nulegal.eu/gesetze/EnWFachwBAProFV/11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