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EnVKV</w:t>
      </w:r>
    </w:p>
    <w:p>
      <w:r>
        <w:rPr>
          <w:color w:val="555555"/>
          <w:sz w:val="18"/>
        </w:rPr>
        <w:t xml:space="preserve">Energieverbrauchskennzeichnungsverordnung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Nr. 1 des Energieverbrauchskennzeichnungsgesetzes vom 1. Juli 1997 (BGBl. I S. 1632) verordnet das Bundesministerium für Wirtschaft im Einvernehmen mit dem Bundesministerium für Arbeit und Sozialordnung:</w:t>
      </w:r>
    </w:p>
    <w:p>
      <w:r>
        <w:rPr>
          <w:color w:val="555555"/>
          <w:sz w:val="17"/>
        </w:rPr>
        <w:t xml:space="preserve">Zitiervorschlag: Eingangsformel EnVKV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