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EnVKV — Missbräuchliche Verwendung von Bezeichnungen</w:t>
      </w:r>
    </w:p>
    <w:p>
      <w:r>
        <w:rPr>
          <w:color w:val="555555"/>
          <w:sz w:val="18"/>
        </w:rPr>
        <w:t xml:space="preserve">Energieverbrauchskennzeichnungsverordnung</w:t>
      </w:r>
    </w:p>
    <w:p>
      <w:r>
        <w:rPr>
          <w:color w:val="555555"/>
          <w:sz w:val="18"/>
        </w:rPr>
        <w:t xml:space="preserve">Stand: 10.06.2019 (konsolidierte Textfassung, kein amtliches Inkrafttretensdatum)</w:t>
      </w:r>
    </w:p>
    <w:p>
      <w:r>
        <w:t xml:space="preserve">Es ist verboten, Marken, Symbole, Beschriftungen oder andere Etiketten zu verwenden, die nicht im Einklang mit den Anforderungen an die Kennzeichnung nach § 3 Absatz 1 stehen und die geeignet sind, beim Endverbraucher zur Verwechslung mit einer Kennzeichnung nach § 3 Absatz 1 zu führen oder beim Endverbraucher zu einer Irreführung oder Unklarheit hinsichtlich des Verbrauchs an Energie oder an anderen wichtigen Ressourcen während des Gebrauchs führen. Dieses Verbot gilt nicht für von der Europäischen Union vorgegebene oder einzelstaatliche Umweltkennzeichnungsregelungen.</w:t>
      </w:r>
    </w:p>
    <w:p>
      <w:r>
        <w:rPr>
          <w:color w:val="555555"/>
          <w:sz w:val="17"/>
        </w:rPr>
        <w:t xml:space="preserve">Zitiervorschlag: § 7 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https://recht.nulegal.eu/gesetze/EnVKV/7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