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EnVKV — Nicht ausgestellte Produkte</w:t>
      </w:r>
    </w:p>
    <w:p>
      <w:r>
        <w:rPr>
          <w:color w:val="555555"/>
          <w:sz w:val="18"/>
        </w:rPr>
        <w:t xml:space="preserve">Energieverbrauchskennzeichnungsverordnung</w:t>
      </w:r>
    </w:p>
    <w:p>
      <w:r>
        <w:rPr>
          <w:color w:val="555555"/>
          <w:sz w:val="18"/>
        </w:rPr>
        <w:t xml:space="preserve">Stand: 10.06.2019 (konsolidierte Textfassung, kein amtliches Inkrafttretensdatum)</w:t>
      </w:r>
    </w:p>
    <w:p>
      <w:r>
        <w:t xml:space="preserve">(1) Werden Produkte, die von der in Anlage 1 Satz 1 genannten Richtlinie oder den in Anlage 2 Abschnitt 1 Absatz 1 genannten Verordnungen erfasst sind, über den Versandhandel, in Katalogen, über das Internet, über Telefonmarketing oder auf einem anderen Weg durch Lieferanten und Händler angeboten, bei dem Interessenten die Produkte nicht ausgestellt sehen, haben die Lieferanten und Händler den Interessenten vor Vertragsschluss Kenntnis von den erforderlichen Angaben nach Anlage 1 Nummer 3, 6 und 7 oder den vorgenannten Verordnungen zu geben.</w:t>
      </w:r>
    </w:p>
    <w:p>
      <w:r>
        <w:t xml:space="preserve">(2) Werden Produkte, die von einer in Anlage 2 Abschnitt 1 Absatz 1 genannten Verordnung erfasst sind, über das Internet zum Verkauf, zur Vermietung oder zum Mietkauf angeboten, haben die Händler die elektronischen Etiketten und Datenblätter nach § 4 Absatz 2 auf dem Anzeigemechanismus in der Nähe des Produktpreises darzustellen. Sie haben dabei Etiketten und Datenblätter nach den Anforderungen derjenigen vorgenannten Verordnung darzustellen, die für die jeweilige Produktgruppe maßgeblich ist.</w:t>
      </w:r>
    </w:p>
    <w:p>
      <w:r>
        <w:rPr>
          <w:color w:val="555555"/>
          <w:sz w:val="17"/>
        </w:rPr>
        <w:t xml:space="preserve">Zitiervorschlag: § 5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